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CB529">
      <w:pPr>
        <w:ind w:firstLine="0"/>
      </w:pPr>
    </w:p>
    <w:p w14:paraId="796DE0C2">
      <w:pPr>
        <w:ind w:firstLine="0"/>
      </w:pPr>
    </w:p>
    <w:p w14:paraId="610D32E8">
      <w:pPr>
        <w:ind w:firstLine="0"/>
      </w:pPr>
    </w:p>
    <w:p w14:paraId="5B055CF6">
      <w:pPr>
        <w:ind w:firstLine="0"/>
      </w:pPr>
    </w:p>
    <w:p w14:paraId="56508711">
      <w:pPr>
        <w:pStyle w:val="31"/>
      </w:pPr>
      <w:r>
        <w:rPr>
          <w:rFonts w:ascii="Arial" w:hAnsi="Arial" w:eastAsia="黑体"/>
          <w:b/>
          <w:color w:val="000000"/>
          <w:sz w:val="36"/>
        </w:rPr>
        <w:t>工业粉尘治理工程设计方案</w:t>
      </w:r>
    </w:p>
    <w:p w14:paraId="3C8122D9">
      <w:pPr>
        <w:pStyle w:val="26"/>
        <w:ind w:firstLine="0"/>
      </w:pPr>
      <w:r>
        <w:rPr>
          <w:rFonts w:ascii="Arial" w:hAnsi="Arial" w:eastAsia="楷体"/>
          <w:b w:val="0"/>
          <w:sz w:val="24"/>
        </w:rPr>
        <w:t>（增碳剂生产车间煤粉粉尘治理·）</w:t>
      </w:r>
    </w:p>
    <w:p w14:paraId="1A26F6CC">
      <w:pPr>
        <w:ind w:firstLine="0"/>
      </w:pPr>
    </w:p>
    <w:p w14:paraId="3F9063C6">
      <w:pPr>
        <w:ind w:firstLine="0"/>
      </w:pPr>
    </w:p>
    <w:p w14:paraId="1EE550CE">
      <w:pPr>
        <w:ind w:firstLine="0"/>
        <w:jc w:val="center"/>
      </w:pPr>
      <w:r>
        <w:rPr>
          <w:rFonts w:ascii="Arial" w:hAnsi="Arial" w:eastAsia="宋体"/>
          <w:b w:val="0"/>
          <w:sz w:val="28"/>
        </w:rPr>
        <w:t>编制单位：</w:t>
      </w:r>
      <w:r>
        <w:rPr>
          <w:rFonts w:hint="eastAsia"/>
          <w:b w:val="0"/>
          <w:sz w:val="28"/>
          <w:lang w:val="en-US" w:eastAsia="zh-CN"/>
        </w:rPr>
        <w:t>江苏福拓环保设备</w:t>
      </w:r>
      <w:r>
        <w:rPr>
          <w:rFonts w:ascii="Arial" w:hAnsi="Arial" w:eastAsia="宋体"/>
          <w:b w:val="0"/>
          <w:sz w:val="28"/>
        </w:rPr>
        <w:t>有限公司</w:t>
      </w:r>
    </w:p>
    <w:p w14:paraId="23B55A10">
      <w:pPr>
        <w:ind w:firstLine="2240" w:firstLineChars="800"/>
        <w:jc w:val="both"/>
      </w:pPr>
      <w:r>
        <w:rPr>
          <w:rFonts w:ascii="Arial" w:hAnsi="Arial" w:eastAsia="宋体"/>
          <w:b w:val="0"/>
          <w:sz w:val="28"/>
        </w:rPr>
        <w:t>编制日期：</w:t>
      </w:r>
      <w:r>
        <w:rPr>
          <w:rFonts w:hint="eastAsia"/>
          <w:b w:val="0"/>
          <w:sz w:val="28"/>
          <w:lang w:val="en-US" w:eastAsia="zh-CN"/>
        </w:rPr>
        <w:t>2025</w:t>
      </w:r>
      <w:r>
        <w:rPr>
          <w:rFonts w:ascii="Arial" w:hAnsi="Arial" w:eastAsia="宋体"/>
          <w:b w:val="0"/>
          <w:sz w:val="28"/>
        </w:rPr>
        <w:t>年</w:t>
      </w:r>
      <w:r>
        <w:rPr>
          <w:rFonts w:hint="eastAsia"/>
          <w:b w:val="0"/>
          <w:sz w:val="28"/>
          <w:lang w:val="en-US" w:eastAsia="zh-CN"/>
        </w:rPr>
        <w:t>10</w:t>
      </w:r>
      <w:r>
        <w:rPr>
          <w:rFonts w:ascii="Arial" w:hAnsi="Arial" w:eastAsia="宋体"/>
          <w:b w:val="0"/>
          <w:sz w:val="28"/>
        </w:rPr>
        <w:t>月</w:t>
      </w:r>
    </w:p>
    <w:p w14:paraId="32CFB4E5">
      <w:pPr>
        <w:ind w:firstLine="0"/>
      </w:pPr>
    </w:p>
    <w:p w14:paraId="36ECCE1B">
      <w:pPr>
        <w:spacing w:line="312" w:lineRule="auto"/>
        <w:ind w:firstLine="0"/>
        <w:jc w:val="center"/>
      </w:pPr>
      <w:r>
        <w:rPr>
          <w:rFonts w:ascii="Arial" w:hAnsi="Arial" w:eastAsia="楷体"/>
          <w:b w:val="0"/>
          <w:sz w:val="21"/>
        </w:rPr>
        <w:t>说明：本方案为脱敏通用技术版本。企业主体信息、项目编号、厂区地址、联系方式及商务报价数据均已按脱敏要求移除；技术参数、工艺路线与治理逻辑保留行业通用口径，可用于方案报审、技术交底、投标演示与行业学习复用。</w:t>
      </w:r>
      <w:bookmarkStart w:id="0" w:name="_GoBack"/>
      <w:bookmarkEnd w:id="0"/>
    </w:p>
    <w:p w14:paraId="601C22B1">
      <w:r>
        <w:br w:type="page"/>
      </w:r>
    </w:p>
    <w:p w14:paraId="0F84057B">
      <w:pPr>
        <w:spacing w:line="312" w:lineRule="auto"/>
        <w:ind w:firstLine="0"/>
        <w:jc w:val="center"/>
      </w:pPr>
      <w:r>
        <w:rPr>
          <w:rFonts w:ascii="Arial" w:hAnsi="Arial" w:eastAsia="黑体"/>
          <w:b/>
          <w:sz w:val="32"/>
        </w:rPr>
        <w:t>目  录</w:t>
      </w:r>
    </w:p>
    <w:p w14:paraId="5EF52D5A">
      <w:pPr>
        <w:spacing w:line="240" w:lineRule="auto"/>
        <w:ind w:firstLine="0"/>
      </w:pPr>
    </w:p>
    <w:p w14:paraId="04439F61">
      <w:pPr>
        <w:tabs>
          <w:tab w:val="right" w:leader="dot" w:pos="9071"/>
        </w:tabs>
        <w:spacing w:line="240" w:lineRule="auto"/>
      </w:pPr>
      <w:r>
        <w:rPr>
          <w:rFonts w:ascii="Arial" w:hAnsi="Arial" w:eastAsia="宋体"/>
          <w:sz w:val="21"/>
        </w:rPr>
        <w:t>1 项目概况：治理背景、工程范围与达标目标</w:t>
      </w:r>
      <w:r>
        <w:rPr>
          <w:rFonts w:ascii="Arial" w:hAnsi="Arial" w:eastAsia="宋体"/>
          <w:sz w:val="21"/>
        </w:rPr>
        <w:tab/>
        <w:t>1</w:t>
      </w:r>
    </w:p>
    <w:p w14:paraId="5C5FD0EE">
      <w:pPr>
        <w:tabs>
          <w:tab w:val="right" w:leader="dot" w:pos="9071"/>
        </w:tabs>
        <w:spacing w:line="240" w:lineRule="auto"/>
        <w:ind w:left="420"/>
      </w:pPr>
      <w:r>
        <w:rPr>
          <w:rFonts w:ascii="Arial" w:hAnsi="Arial" w:eastAsia="宋体"/>
          <w:sz w:val="21"/>
        </w:rPr>
        <w:t>1.1 项目背景与治理必要性：煤粉粉尘治理的合规与安全价值</w:t>
      </w:r>
      <w:r>
        <w:rPr>
          <w:rFonts w:ascii="Arial" w:hAnsi="Arial" w:eastAsia="宋体"/>
          <w:sz w:val="21"/>
        </w:rPr>
        <w:tab/>
        <w:t>1</w:t>
      </w:r>
    </w:p>
    <w:p w14:paraId="3F1DEEEF">
      <w:pPr>
        <w:tabs>
          <w:tab w:val="right" w:leader="dot" w:pos="9071"/>
        </w:tabs>
        <w:spacing w:line="240" w:lineRule="auto"/>
        <w:ind w:left="420"/>
      </w:pPr>
      <w:r>
        <w:rPr>
          <w:rFonts w:ascii="Arial" w:hAnsi="Arial" w:eastAsia="宋体"/>
          <w:sz w:val="21"/>
        </w:rPr>
        <w:t>1.2 工程范围与处理规模：成套治理设施与总处理能力</w:t>
      </w:r>
      <w:r>
        <w:rPr>
          <w:rFonts w:ascii="Arial" w:hAnsi="Arial" w:eastAsia="宋体"/>
          <w:sz w:val="21"/>
        </w:rPr>
        <w:tab/>
        <w:t>1</w:t>
      </w:r>
    </w:p>
    <w:p w14:paraId="7CA2A7F6">
      <w:pPr>
        <w:tabs>
          <w:tab w:val="right" w:leader="dot" w:pos="9071"/>
        </w:tabs>
        <w:spacing w:line="240" w:lineRule="auto"/>
        <w:ind w:left="420"/>
      </w:pPr>
      <w:r>
        <w:rPr>
          <w:rFonts w:ascii="Arial" w:hAnsi="Arial" w:eastAsia="宋体"/>
          <w:sz w:val="21"/>
        </w:rPr>
        <w:t>1.3 治理目标与主要指标：严于国家标准的达标承诺</w:t>
      </w:r>
      <w:r>
        <w:rPr>
          <w:rFonts w:ascii="Arial" w:hAnsi="Arial" w:eastAsia="宋体"/>
          <w:sz w:val="21"/>
        </w:rPr>
        <w:tab/>
        <w:t>2</w:t>
      </w:r>
    </w:p>
    <w:p w14:paraId="77AAF16E">
      <w:pPr>
        <w:tabs>
          <w:tab w:val="right" w:leader="dot" w:pos="9071"/>
        </w:tabs>
        <w:spacing w:line="240" w:lineRule="auto"/>
      </w:pPr>
      <w:r>
        <w:rPr>
          <w:rFonts w:ascii="Arial" w:hAnsi="Arial" w:eastAsia="宋体"/>
          <w:sz w:val="21"/>
        </w:rPr>
        <w:t>2 治理依据与执行标准：现行标准体系与设计原则</w:t>
      </w:r>
      <w:r>
        <w:rPr>
          <w:rFonts w:ascii="Arial" w:hAnsi="Arial" w:eastAsia="宋体"/>
          <w:sz w:val="21"/>
        </w:rPr>
        <w:tab/>
        <w:t>2</w:t>
      </w:r>
    </w:p>
    <w:p w14:paraId="6E1DAC6B">
      <w:pPr>
        <w:tabs>
          <w:tab w:val="right" w:leader="dot" w:pos="9071"/>
        </w:tabs>
        <w:spacing w:line="240" w:lineRule="auto"/>
        <w:ind w:left="420"/>
      </w:pPr>
      <w:r>
        <w:rPr>
          <w:rFonts w:ascii="Arial" w:hAnsi="Arial" w:eastAsia="宋体"/>
          <w:sz w:val="21"/>
        </w:rPr>
        <w:t>2.1 设计原则：经济适用与安全稳定并重</w:t>
      </w:r>
      <w:r>
        <w:rPr>
          <w:rFonts w:ascii="Arial" w:hAnsi="Arial" w:eastAsia="宋体"/>
          <w:sz w:val="21"/>
        </w:rPr>
        <w:tab/>
        <w:t>2</w:t>
      </w:r>
    </w:p>
    <w:p w14:paraId="4336EECA">
      <w:pPr>
        <w:tabs>
          <w:tab w:val="right" w:leader="dot" w:pos="9071"/>
        </w:tabs>
        <w:spacing w:line="240" w:lineRule="auto"/>
        <w:ind w:left="420"/>
      </w:pPr>
      <w:r>
        <w:rPr>
          <w:rFonts w:ascii="Arial" w:hAnsi="Arial" w:eastAsia="宋体"/>
          <w:sz w:val="21"/>
        </w:rPr>
        <w:t>2.2 执行标准与规范：现行有效的设计验收依据</w:t>
      </w:r>
      <w:r>
        <w:rPr>
          <w:rFonts w:ascii="Arial" w:hAnsi="Arial" w:eastAsia="宋体"/>
          <w:sz w:val="21"/>
        </w:rPr>
        <w:tab/>
        <w:t>3</w:t>
      </w:r>
    </w:p>
    <w:p w14:paraId="2C75FC9E">
      <w:pPr>
        <w:tabs>
          <w:tab w:val="right" w:leader="dot" w:pos="9071"/>
        </w:tabs>
        <w:spacing w:line="240" w:lineRule="auto"/>
        <w:ind w:left="420"/>
      </w:pPr>
      <w:r>
        <w:rPr>
          <w:rFonts w:ascii="Arial" w:hAnsi="Arial" w:eastAsia="宋体"/>
          <w:sz w:val="21"/>
        </w:rPr>
        <w:t>2.3 主要技术指标：全系统性能达标基线</w:t>
      </w:r>
      <w:r>
        <w:rPr>
          <w:rFonts w:ascii="Arial" w:hAnsi="Arial" w:eastAsia="宋体"/>
          <w:sz w:val="21"/>
        </w:rPr>
        <w:tab/>
        <w:t>4</w:t>
      </w:r>
    </w:p>
    <w:p w14:paraId="762B230D">
      <w:pPr>
        <w:tabs>
          <w:tab w:val="right" w:leader="dot" w:pos="9071"/>
        </w:tabs>
        <w:spacing w:line="240" w:lineRule="auto"/>
      </w:pPr>
      <w:r>
        <w:rPr>
          <w:rFonts w:ascii="Arial" w:hAnsi="Arial" w:eastAsia="宋体"/>
          <w:sz w:val="21"/>
        </w:rPr>
        <w:t>3 废气污染源现状分析：产尘环节、粉尘特性与治理必要性</w:t>
      </w:r>
      <w:r>
        <w:rPr>
          <w:rFonts w:ascii="Arial" w:hAnsi="Arial" w:eastAsia="宋体"/>
          <w:sz w:val="21"/>
        </w:rPr>
        <w:tab/>
        <w:t>4</w:t>
      </w:r>
    </w:p>
    <w:p w14:paraId="31B5ABCB">
      <w:pPr>
        <w:tabs>
          <w:tab w:val="right" w:leader="dot" w:pos="9071"/>
        </w:tabs>
        <w:spacing w:line="240" w:lineRule="auto"/>
        <w:ind w:left="420"/>
      </w:pPr>
      <w:r>
        <w:rPr>
          <w:rFonts w:ascii="Arial" w:hAnsi="Arial" w:eastAsia="宋体"/>
          <w:sz w:val="21"/>
        </w:rPr>
        <w:t>3.1 生产工艺与产尘环节：尘源识别与污染特征</w:t>
      </w:r>
      <w:r>
        <w:rPr>
          <w:rFonts w:ascii="Arial" w:hAnsi="Arial" w:eastAsia="宋体"/>
          <w:sz w:val="21"/>
        </w:rPr>
        <w:tab/>
        <w:t>4</w:t>
      </w:r>
    </w:p>
    <w:p w14:paraId="702844E4">
      <w:pPr>
        <w:tabs>
          <w:tab w:val="right" w:leader="dot" w:pos="9071"/>
        </w:tabs>
        <w:spacing w:line="240" w:lineRule="auto"/>
        <w:ind w:left="420"/>
      </w:pPr>
      <w:r>
        <w:rPr>
          <w:rFonts w:ascii="Arial" w:hAnsi="Arial" w:eastAsia="宋体"/>
          <w:sz w:val="21"/>
        </w:rPr>
        <w:t>3.2 粉尘特性与危害分析：煤尘可燃性与职业健康风险</w:t>
      </w:r>
      <w:r>
        <w:rPr>
          <w:rFonts w:ascii="Arial" w:hAnsi="Arial" w:eastAsia="宋体"/>
          <w:sz w:val="21"/>
        </w:rPr>
        <w:tab/>
        <w:t>5</w:t>
      </w:r>
    </w:p>
    <w:p w14:paraId="32157C85">
      <w:pPr>
        <w:tabs>
          <w:tab w:val="right" w:leader="dot" w:pos="9071"/>
        </w:tabs>
        <w:spacing w:line="240" w:lineRule="auto"/>
        <w:ind w:left="420"/>
      </w:pPr>
      <w:r>
        <w:rPr>
          <w:rFonts w:ascii="Arial" w:hAnsi="Arial" w:eastAsia="宋体"/>
          <w:sz w:val="21"/>
        </w:rPr>
        <w:t>3.3 现有治理状况与问题：无组织扩散与捕集难点</w:t>
      </w:r>
      <w:r>
        <w:rPr>
          <w:rFonts w:ascii="Arial" w:hAnsi="Arial" w:eastAsia="宋体"/>
          <w:sz w:val="21"/>
        </w:rPr>
        <w:tab/>
        <w:t>5</w:t>
      </w:r>
    </w:p>
    <w:p w14:paraId="16336605">
      <w:pPr>
        <w:tabs>
          <w:tab w:val="right" w:leader="dot" w:pos="9071"/>
        </w:tabs>
        <w:spacing w:line="240" w:lineRule="auto"/>
        <w:ind w:left="420"/>
      </w:pPr>
      <w:r>
        <w:rPr>
          <w:rFonts w:ascii="Arial" w:hAnsi="Arial" w:eastAsia="宋体"/>
          <w:sz w:val="21"/>
        </w:rPr>
        <w:t>3.4 产尘点分布与系统划分：就近集中、分区独立</w:t>
      </w:r>
      <w:r>
        <w:rPr>
          <w:rFonts w:ascii="Arial" w:hAnsi="Arial" w:eastAsia="宋体"/>
          <w:sz w:val="21"/>
        </w:rPr>
        <w:tab/>
        <w:t>5</w:t>
      </w:r>
    </w:p>
    <w:p w14:paraId="1089CCD2">
      <w:pPr>
        <w:tabs>
          <w:tab w:val="right" w:leader="dot" w:pos="9071"/>
        </w:tabs>
        <w:spacing w:line="240" w:lineRule="auto"/>
      </w:pPr>
      <w:r>
        <w:rPr>
          <w:rFonts w:ascii="Arial" w:hAnsi="Arial" w:eastAsia="宋体"/>
          <w:sz w:val="21"/>
        </w:rPr>
        <w:t>4 治理工艺选型及原理：袋式除尘路线的论证与确定</w:t>
      </w:r>
      <w:r>
        <w:rPr>
          <w:rFonts w:ascii="Arial" w:hAnsi="Arial" w:eastAsia="宋体"/>
          <w:sz w:val="21"/>
        </w:rPr>
        <w:tab/>
        <w:t>6</w:t>
      </w:r>
    </w:p>
    <w:p w14:paraId="25B94B51">
      <w:pPr>
        <w:tabs>
          <w:tab w:val="right" w:leader="dot" w:pos="9071"/>
        </w:tabs>
        <w:spacing w:line="240" w:lineRule="auto"/>
        <w:ind w:left="420"/>
      </w:pPr>
      <w:r>
        <w:rPr>
          <w:rFonts w:ascii="Arial" w:hAnsi="Arial" w:eastAsia="宋体"/>
          <w:sz w:val="21"/>
        </w:rPr>
        <w:t>4.1 常用除尘工艺对比：五类工艺的适应性论证</w:t>
      </w:r>
      <w:r>
        <w:rPr>
          <w:rFonts w:ascii="Arial" w:hAnsi="Arial" w:eastAsia="宋体"/>
          <w:sz w:val="21"/>
        </w:rPr>
        <w:tab/>
        <w:t>6</w:t>
      </w:r>
    </w:p>
    <w:p w14:paraId="64506D47">
      <w:pPr>
        <w:tabs>
          <w:tab w:val="right" w:leader="dot" w:pos="9071"/>
        </w:tabs>
        <w:spacing w:line="240" w:lineRule="auto"/>
        <w:ind w:left="420"/>
      </w:pPr>
      <w:r>
        <w:rPr>
          <w:rFonts w:ascii="Arial" w:hAnsi="Arial" w:eastAsia="宋体"/>
          <w:sz w:val="21"/>
        </w:rPr>
        <w:t>4.2 工艺选型结论：长袋低压脉冲布袋除尘＋高效捕集</w:t>
      </w:r>
      <w:r>
        <w:rPr>
          <w:rFonts w:ascii="Arial" w:hAnsi="Arial" w:eastAsia="宋体"/>
          <w:sz w:val="21"/>
        </w:rPr>
        <w:tab/>
        <w:t>6</w:t>
      </w:r>
    </w:p>
    <w:p w14:paraId="5A3D2F5E">
      <w:pPr>
        <w:tabs>
          <w:tab w:val="right" w:leader="dot" w:pos="9071"/>
        </w:tabs>
        <w:spacing w:line="240" w:lineRule="auto"/>
        <w:ind w:left="420"/>
      </w:pPr>
      <w:r>
        <w:rPr>
          <w:rFonts w:ascii="Arial" w:hAnsi="Arial" w:eastAsia="宋体"/>
          <w:sz w:val="21"/>
        </w:rPr>
        <w:t>4.3 粉尘捕集技术：副翼式吸风罩的原理与特点</w:t>
      </w:r>
      <w:r>
        <w:rPr>
          <w:rFonts w:ascii="Arial" w:hAnsi="Arial" w:eastAsia="宋体"/>
          <w:sz w:val="21"/>
        </w:rPr>
        <w:tab/>
        <w:t>7</w:t>
      </w:r>
    </w:p>
    <w:p w14:paraId="16D7C521">
      <w:pPr>
        <w:tabs>
          <w:tab w:val="right" w:leader="dot" w:pos="9071"/>
        </w:tabs>
        <w:spacing w:line="240" w:lineRule="auto"/>
        <w:ind w:left="420"/>
      </w:pPr>
      <w:r>
        <w:rPr>
          <w:rFonts w:ascii="Arial" w:hAnsi="Arial" w:eastAsia="宋体"/>
          <w:sz w:val="21"/>
        </w:rPr>
        <w:t>4.4 净化设备原理：长袋低压脉冲布袋除尘器工作机制</w:t>
      </w:r>
      <w:r>
        <w:rPr>
          <w:rFonts w:ascii="Arial" w:hAnsi="Arial" w:eastAsia="宋体"/>
          <w:sz w:val="21"/>
        </w:rPr>
        <w:tab/>
        <w:t>8</w:t>
      </w:r>
    </w:p>
    <w:p w14:paraId="7A05EEAB">
      <w:pPr>
        <w:tabs>
          <w:tab w:val="right" w:leader="dot" w:pos="9071"/>
        </w:tabs>
        <w:spacing w:line="240" w:lineRule="auto"/>
        <w:ind w:left="420"/>
      </w:pPr>
      <w:r>
        <w:rPr>
          <w:rFonts w:ascii="Arial" w:hAnsi="Arial" w:eastAsia="宋体"/>
          <w:sz w:val="21"/>
        </w:rPr>
        <w:t>4.5 关键参数确定：过滤风速、滤料与清灰压力</w:t>
      </w:r>
      <w:r>
        <w:rPr>
          <w:rFonts w:ascii="Arial" w:hAnsi="Arial" w:eastAsia="宋体"/>
          <w:sz w:val="21"/>
        </w:rPr>
        <w:tab/>
        <w:t>9</w:t>
      </w:r>
    </w:p>
    <w:p w14:paraId="2C2D2FF8">
      <w:pPr>
        <w:tabs>
          <w:tab w:val="right" w:leader="dot" w:pos="9071"/>
        </w:tabs>
        <w:spacing w:line="240" w:lineRule="auto"/>
      </w:pPr>
      <w:r>
        <w:rPr>
          <w:rFonts w:ascii="Arial" w:hAnsi="Arial" w:eastAsia="宋体"/>
          <w:sz w:val="21"/>
        </w:rPr>
        <w:t>5 全流程工艺流程说明：气路、灰路与清灰系统的协同运行</w:t>
      </w:r>
      <w:r>
        <w:rPr>
          <w:rFonts w:ascii="Arial" w:hAnsi="Arial" w:eastAsia="宋体"/>
          <w:sz w:val="21"/>
        </w:rPr>
        <w:tab/>
        <w:t>9</w:t>
      </w:r>
    </w:p>
    <w:p w14:paraId="38518B35">
      <w:pPr>
        <w:tabs>
          <w:tab w:val="right" w:leader="dot" w:pos="9071"/>
        </w:tabs>
        <w:spacing w:line="240" w:lineRule="auto"/>
        <w:ind w:left="420"/>
      </w:pPr>
      <w:r>
        <w:rPr>
          <w:rFonts w:ascii="Arial" w:hAnsi="Arial" w:eastAsia="宋体"/>
          <w:sz w:val="21"/>
        </w:rPr>
        <w:t>5.1 工艺流程总述：捕集—输送—净化—排放闭环</w:t>
      </w:r>
      <w:r>
        <w:rPr>
          <w:rFonts w:ascii="Arial" w:hAnsi="Arial" w:eastAsia="宋体"/>
          <w:sz w:val="21"/>
        </w:rPr>
        <w:tab/>
        <w:t>9</w:t>
      </w:r>
    </w:p>
    <w:p w14:paraId="707E0852">
      <w:pPr>
        <w:tabs>
          <w:tab w:val="right" w:leader="dot" w:pos="9071"/>
        </w:tabs>
        <w:spacing w:line="240" w:lineRule="auto"/>
        <w:ind w:left="420"/>
      </w:pPr>
      <w:r>
        <w:rPr>
          <w:rFonts w:ascii="Arial" w:hAnsi="Arial" w:eastAsia="宋体"/>
          <w:sz w:val="21"/>
        </w:rPr>
        <w:t>5.2 各环节设计说明：从尘源捕集到达标排放</w:t>
      </w:r>
      <w:r>
        <w:rPr>
          <w:rFonts w:ascii="Arial" w:hAnsi="Arial" w:eastAsia="宋体"/>
          <w:sz w:val="21"/>
        </w:rPr>
        <w:tab/>
        <w:t>10</w:t>
      </w:r>
    </w:p>
    <w:p w14:paraId="6D71C5D9">
      <w:pPr>
        <w:tabs>
          <w:tab w:val="right" w:leader="dot" w:pos="9071"/>
        </w:tabs>
        <w:spacing w:line="240" w:lineRule="auto"/>
        <w:ind w:left="420"/>
      </w:pPr>
      <w:r>
        <w:rPr>
          <w:rFonts w:ascii="Arial" w:hAnsi="Arial" w:eastAsia="宋体"/>
          <w:sz w:val="21"/>
        </w:rPr>
        <w:t>5.3 风量平衡与系统划分：阻力平衡与节能运行</w:t>
      </w:r>
      <w:r>
        <w:rPr>
          <w:rFonts w:ascii="Arial" w:hAnsi="Arial" w:eastAsia="宋体"/>
          <w:sz w:val="21"/>
        </w:rPr>
        <w:tab/>
        <w:t>11</w:t>
      </w:r>
    </w:p>
    <w:p w14:paraId="13806045">
      <w:pPr>
        <w:tabs>
          <w:tab w:val="right" w:leader="dot" w:pos="9071"/>
        </w:tabs>
        <w:spacing w:line="240" w:lineRule="auto"/>
        <w:ind w:left="420"/>
      </w:pPr>
      <w:r>
        <w:rPr>
          <w:rFonts w:ascii="Arial" w:hAnsi="Arial" w:eastAsia="宋体"/>
          <w:sz w:val="21"/>
        </w:rPr>
        <w:t>5.4 防爆设计要点：可燃煤尘的全程防爆措施</w:t>
      </w:r>
      <w:r>
        <w:rPr>
          <w:rFonts w:ascii="Arial" w:hAnsi="Arial" w:eastAsia="宋体"/>
          <w:sz w:val="21"/>
        </w:rPr>
        <w:tab/>
        <w:t>12</w:t>
      </w:r>
    </w:p>
    <w:p w14:paraId="50B6DF11">
      <w:pPr>
        <w:tabs>
          <w:tab w:val="right" w:leader="dot" w:pos="9071"/>
        </w:tabs>
        <w:spacing w:line="240" w:lineRule="auto"/>
      </w:pPr>
      <w:r>
        <w:rPr>
          <w:rFonts w:ascii="Arial" w:hAnsi="Arial" w:eastAsia="宋体"/>
          <w:sz w:val="21"/>
        </w:rPr>
        <w:t>6 核心设备参数及配置清单：成套设备技术规格</w:t>
      </w:r>
      <w:r>
        <w:rPr>
          <w:rFonts w:ascii="Arial" w:hAnsi="Arial" w:eastAsia="宋体"/>
          <w:sz w:val="21"/>
        </w:rPr>
        <w:tab/>
        <w:t>12</w:t>
      </w:r>
    </w:p>
    <w:p w14:paraId="600EF8CF">
      <w:pPr>
        <w:tabs>
          <w:tab w:val="right" w:leader="dot" w:pos="9071"/>
        </w:tabs>
        <w:spacing w:line="240" w:lineRule="auto"/>
        <w:ind w:left="420"/>
      </w:pPr>
      <w:r>
        <w:rPr>
          <w:rFonts w:ascii="Arial" w:hAnsi="Arial" w:eastAsia="宋体"/>
          <w:sz w:val="21"/>
        </w:rPr>
        <w:t>6.1 长袋低压脉冲布袋除尘器技术参数</w:t>
      </w:r>
      <w:r>
        <w:rPr>
          <w:rFonts w:ascii="Arial" w:hAnsi="Arial" w:eastAsia="宋体"/>
          <w:sz w:val="21"/>
        </w:rPr>
        <w:tab/>
        <w:t>12</w:t>
      </w:r>
    </w:p>
    <w:p w14:paraId="2EF9360B">
      <w:pPr>
        <w:tabs>
          <w:tab w:val="right" w:leader="dot" w:pos="9071"/>
        </w:tabs>
        <w:spacing w:line="240" w:lineRule="auto"/>
        <w:ind w:left="420"/>
      </w:pPr>
      <w:r>
        <w:rPr>
          <w:rFonts w:ascii="Arial" w:hAnsi="Arial" w:eastAsia="宋体"/>
          <w:sz w:val="21"/>
        </w:rPr>
        <w:t>6.2 离心通风机技术参数</w:t>
      </w:r>
      <w:r>
        <w:rPr>
          <w:rFonts w:ascii="Arial" w:hAnsi="Arial" w:eastAsia="宋体"/>
          <w:sz w:val="21"/>
        </w:rPr>
        <w:tab/>
        <w:t>13</w:t>
      </w:r>
    </w:p>
    <w:p w14:paraId="2349A2EE">
      <w:pPr>
        <w:tabs>
          <w:tab w:val="right" w:leader="dot" w:pos="9071"/>
        </w:tabs>
        <w:spacing w:line="240" w:lineRule="auto"/>
        <w:ind w:left="420"/>
      </w:pPr>
      <w:r>
        <w:rPr>
          <w:rFonts w:ascii="Arial" w:hAnsi="Arial" w:eastAsia="宋体"/>
          <w:sz w:val="21"/>
        </w:rPr>
        <w:t>6.3 全系统配套设备配置清单</w:t>
      </w:r>
      <w:r>
        <w:rPr>
          <w:rFonts w:ascii="Arial" w:hAnsi="Arial" w:eastAsia="宋体"/>
          <w:sz w:val="21"/>
        </w:rPr>
        <w:tab/>
        <w:t>13</w:t>
      </w:r>
    </w:p>
    <w:p w14:paraId="3E66B699">
      <w:pPr>
        <w:tabs>
          <w:tab w:val="right" w:leader="dot" w:pos="9071"/>
        </w:tabs>
        <w:spacing w:line="240" w:lineRule="auto"/>
        <w:ind w:left="420"/>
      </w:pPr>
      <w:r>
        <w:rPr>
          <w:rFonts w:ascii="Arial" w:hAnsi="Arial" w:eastAsia="宋体"/>
          <w:sz w:val="21"/>
        </w:rPr>
        <w:t>6.4 设备选型与参数校核：关键参数自洽性验证</w:t>
      </w:r>
      <w:r>
        <w:rPr>
          <w:rFonts w:ascii="Arial" w:hAnsi="Arial" w:eastAsia="宋体"/>
          <w:sz w:val="21"/>
        </w:rPr>
        <w:tab/>
        <w:t>14</w:t>
      </w:r>
    </w:p>
    <w:p w14:paraId="1DA855D9">
      <w:pPr>
        <w:tabs>
          <w:tab w:val="right" w:leader="dot" w:pos="9071"/>
        </w:tabs>
        <w:spacing w:line="240" w:lineRule="auto"/>
      </w:pPr>
      <w:r>
        <w:rPr>
          <w:rFonts w:ascii="Arial" w:hAnsi="Arial" w:eastAsia="宋体"/>
          <w:sz w:val="21"/>
        </w:rPr>
        <w:t>7 施工组织与安装方案：标准化施工与落地保障</w:t>
      </w:r>
      <w:r>
        <w:rPr>
          <w:rFonts w:ascii="Arial" w:hAnsi="Arial" w:eastAsia="宋体"/>
          <w:sz w:val="21"/>
        </w:rPr>
        <w:tab/>
        <w:t>14</w:t>
      </w:r>
    </w:p>
    <w:p w14:paraId="2975149F">
      <w:pPr>
        <w:tabs>
          <w:tab w:val="right" w:leader="dot" w:pos="9071"/>
        </w:tabs>
        <w:spacing w:line="240" w:lineRule="auto"/>
        <w:ind w:left="420"/>
      </w:pPr>
      <w:r>
        <w:rPr>
          <w:rFonts w:ascii="Arial" w:hAnsi="Arial" w:eastAsia="宋体"/>
          <w:sz w:val="21"/>
        </w:rPr>
        <w:t>7.1 施工总体部署：组织架构与工期排布</w:t>
      </w:r>
      <w:r>
        <w:rPr>
          <w:rFonts w:ascii="Arial" w:hAnsi="Arial" w:eastAsia="宋体"/>
          <w:sz w:val="21"/>
        </w:rPr>
        <w:tab/>
        <w:t>14</w:t>
      </w:r>
    </w:p>
    <w:p w14:paraId="57DF0BA8">
      <w:pPr>
        <w:tabs>
          <w:tab w:val="right" w:leader="dot" w:pos="9071"/>
        </w:tabs>
        <w:spacing w:line="240" w:lineRule="auto"/>
        <w:ind w:left="420"/>
      </w:pPr>
      <w:r>
        <w:rPr>
          <w:rFonts w:ascii="Arial" w:hAnsi="Arial" w:eastAsia="宋体"/>
          <w:sz w:val="21"/>
        </w:rPr>
        <w:t>7.2 主要施工工序：基础、设备、管道、电气的标准化作业</w:t>
      </w:r>
      <w:r>
        <w:rPr>
          <w:rFonts w:ascii="Arial" w:hAnsi="Arial" w:eastAsia="宋体"/>
          <w:sz w:val="21"/>
        </w:rPr>
        <w:tab/>
        <w:t>15</w:t>
      </w:r>
    </w:p>
    <w:p w14:paraId="3A20CCBD">
      <w:pPr>
        <w:tabs>
          <w:tab w:val="right" w:leader="dot" w:pos="9071"/>
        </w:tabs>
        <w:spacing w:line="240" w:lineRule="auto"/>
        <w:ind w:left="420"/>
      </w:pPr>
      <w:r>
        <w:rPr>
          <w:rFonts w:ascii="Arial" w:hAnsi="Arial" w:eastAsia="宋体"/>
          <w:sz w:val="21"/>
        </w:rPr>
        <w:t>7.3 安装技术规范：设备找正、管线与防爆安装要求</w:t>
      </w:r>
      <w:r>
        <w:rPr>
          <w:rFonts w:ascii="Arial" w:hAnsi="Arial" w:eastAsia="宋体"/>
          <w:sz w:val="21"/>
        </w:rPr>
        <w:tab/>
        <w:t>15</w:t>
      </w:r>
    </w:p>
    <w:p w14:paraId="600075FF">
      <w:pPr>
        <w:tabs>
          <w:tab w:val="right" w:leader="dot" w:pos="9071"/>
        </w:tabs>
        <w:spacing w:line="240" w:lineRule="auto"/>
        <w:ind w:left="420"/>
      </w:pPr>
      <w:r>
        <w:rPr>
          <w:rFonts w:ascii="Arial" w:hAnsi="Arial" w:eastAsia="宋体"/>
          <w:sz w:val="21"/>
        </w:rPr>
        <w:t>7.4 施工安全与质量保证：过程控制与验收要点</w:t>
      </w:r>
      <w:r>
        <w:rPr>
          <w:rFonts w:ascii="Arial" w:hAnsi="Arial" w:eastAsia="宋体"/>
          <w:sz w:val="21"/>
        </w:rPr>
        <w:tab/>
        <w:t>15</w:t>
      </w:r>
    </w:p>
    <w:p w14:paraId="7DD77899">
      <w:pPr>
        <w:tabs>
          <w:tab w:val="right" w:leader="dot" w:pos="9071"/>
        </w:tabs>
        <w:spacing w:line="240" w:lineRule="auto"/>
        <w:ind w:left="420"/>
      </w:pPr>
      <w:r>
        <w:rPr>
          <w:rFonts w:ascii="Arial" w:hAnsi="Arial" w:eastAsia="宋体"/>
          <w:sz w:val="21"/>
        </w:rPr>
        <w:t>7.5 施工重难点及对策：交叉作业与大件吊装管理</w:t>
      </w:r>
      <w:r>
        <w:rPr>
          <w:rFonts w:ascii="Arial" w:hAnsi="Arial" w:eastAsia="宋体"/>
          <w:sz w:val="21"/>
        </w:rPr>
        <w:tab/>
        <w:t>16</w:t>
      </w:r>
    </w:p>
    <w:p w14:paraId="1C82133F">
      <w:pPr>
        <w:tabs>
          <w:tab w:val="right" w:leader="dot" w:pos="9071"/>
        </w:tabs>
        <w:spacing w:line="240" w:lineRule="auto"/>
      </w:pPr>
      <w:r>
        <w:rPr>
          <w:rFonts w:ascii="Arial" w:hAnsi="Arial" w:eastAsia="宋体"/>
          <w:sz w:val="21"/>
        </w:rPr>
        <w:t>8 设备调试方案：单机到系统的阶梯调试</w:t>
      </w:r>
      <w:r>
        <w:rPr>
          <w:rFonts w:ascii="Arial" w:hAnsi="Arial" w:eastAsia="宋体"/>
          <w:sz w:val="21"/>
        </w:rPr>
        <w:tab/>
        <w:t>16</w:t>
      </w:r>
    </w:p>
    <w:p w14:paraId="2C683200">
      <w:pPr>
        <w:tabs>
          <w:tab w:val="right" w:leader="dot" w:pos="9071"/>
        </w:tabs>
        <w:spacing w:line="240" w:lineRule="auto"/>
        <w:ind w:left="420"/>
      </w:pPr>
      <w:r>
        <w:rPr>
          <w:rFonts w:ascii="Arial" w:hAnsi="Arial" w:eastAsia="宋体"/>
          <w:sz w:val="21"/>
        </w:rPr>
        <w:t>8.1 调试准备：条件确认与方案交底</w:t>
      </w:r>
      <w:r>
        <w:rPr>
          <w:rFonts w:ascii="Arial" w:hAnsi="Arial" w:eastAsia="宋体"/>
          <w:sz w:val="21"/>
        </w:rPr>
        <w:tab/>
        <w:t>16</w:t>
      </w:r>
    </w:p>
    <w:p w14:paraId="679D01E2">
      <w:pPr>
        <w:tabs>
          <w:tab w:val="right" w:leader="dot" w:pos="9071"/>
        </w:tabs>
        <w:spacing w:line="240" w:lineRule="auto"/>
        <w:ind w:left="420"/>
      </w:pPr>
      <w:r>
        <w:rPr>
          <w:rFonts w:ascii="Arial" w:hAnsi="Arial" w:eastAsia="宋体"/>
          <w:sz w:val="21"/>
        </w:rPr>
        <w:t>8.2 单机调试：风机、清灰与电控系统逐项验证</w:t>
      </w:r>
      <w:r>
        <w:rPr>
          <w:rFonts w:ascii="Arial" w:hAnsi="Arial" w:eastAsia="宋体"/>
          <w:sz w:val="21"/>
        </w:rPr>
        <w:tab/>
        <w:t>16</w:t>
      </w:r>
    </w:p>
    <w:p w14:paraId="7DEDCBF4">
      <w:pPr>
        <w:tabs>
          <w:tab w:val="right" w:leader="dot" w:pos="9071"/>
        </w:tabs>
        <w:spacing w:line="240" w:lineRule="auto"/>
        <w:ind w:left="420"/>
      </w:pPr>
      <w:r>
        <w:rPr>
          <w:rFonts w:ascii="Arial" w:hAnsi="Arial" w:eastAsia="宋体"/>
          <w:sz w:val="21"/>
        </w:rPr>
        <w:t>8.3 系统联动调试：风量平衡与性能考核</w:t>
      </w:r>
      <w:r>
        <w:rPr>
          <w:rFonts w:ascii="Arial" w:hAnsi="Arial" w:eastAsia="宋体"/>
          <w:sz w:val="21"/>
        </w:rPr>
        <w:tab/>
        <w:t>17</w:t>
      </w:r>
    </w:p>
    <w:p w14:paraId="13A72691">
      <w:pPr>
        <w:tabs>
          <w:tab w:val="right" w:leader="dot" w:pos="9071"/>
        </w:tabs>
        <w:spacing w:line="240" w:lineRule="auto"/>
        <w:ind w:left="420"/>
      </w:pPr>
      <w:r>
        <w:rPr>
          <w:rFonts w:ascii="Arial" w:hAnsi="Arial" w:eastAsia="宋体"/>
          <w:sz w:val="21"/>
        </w:rPr>
        <w:t>8.4 调试验收指标：以数据判定系统合格</w:t>
      </w:r>
      <w:r>
        <w:rPr>
          <w:rFonts w:ascii="Arial" w:hAnsi="Arial" w:eastAsia="宋体"/>
          <w:sz w:val="21"/>
        </w:rPr>
        <w:tab/>
        <w:t>17</w:t>
      </w:r>
    </w:p>
    <w:p w14:paraId="41DEF26E">
      <w:pPr>
        <w:tabs>
          <w:tab w:val="right" w:leader="dot" w:pos="9071"/>
        </w:tabs>
        <w:spacing w:line="240" w:lineRule="auto"/>
      </w:pPr>
      <w:r>
        <w:rPr>
          <w:rFonts w:ascii="Arial" w:hAnsi="Arial" w:eastAsia="宋体"/>
          <w:sz w:val="21"/>
        </w:rPr>
        <w:t>9 运维管理方案：长期稳定运行的制度保障</w:t>
      </w:r>
      <w:r>
        <w:rPr>
          <w:rFonts w:ascii="Arial" w:hAnsi="Arial" w:eastAsia="宋体"/>
          <w:sz w:val="21"/>
        </w:rPr>
        <w:tab/>
        <w:t>18</w:t>
      </w:r>
    </w:p>
    <w:p w14:paraId="38B15C11">
      <w:pPr>
        <w:tabs>
          <w:tab w:val="right" w:leader="dot" w:pos="9071"/>
        </w:tabs>
        <w:spacing w:line="240" w:lineRule="auto"/>
        <w:ind w:left="420"/>
      </w:pPr>
      <w:r>
        <w:rPr>
          <w:rFonts w:ascii="Arial" w:hAnsi="Arial" w:eastAsia="宋体"/>
          <w:sz w:val="21"/>
        </w:rPr>
        <w:t>9.1 运行管理制度：岗位责任与操作规程</w:t>
      </w:r>
      <w:r>
        <w:rPr>
          <w:rFonts w:ascii="Arial" w:hAnsi="Arial" w:eastAsia="宋体"/>
          <w:sz w:val="21"/>
        </w:rPr>
        <w:tab/>
        <w:t>18</w:t>
      </w:r>
    </w:p>
    <w:p w14:paraId="20D3C893">
      <w:pPr>
        <w:tabs>
          <w:tab w:val="right" w:leader="dot" w:pos="9071"/>
        </w:tabs>
        <w:spacing w:line="240" w:lineRule="auto"/>
        <w:ind w:left="420"/>
      </w:pPr>
      <w:r>
        <w:rPr>
          <w:rFonts w:ascii="Arial" w:hAnsi="Arial" w:eastAsia="宋体"/>
          <w:sz w:val="21"/>
        </w:rPr>
        <w:t>9.2 日常巡检要点：关键参数与异常识别</w:t>
      </w:r>
      <w:r>
        <w:rPr>
          <w:rFonts w:ascii="Arial" w:hAnsi="Arial" w:eastAsia="宋体"/>
          <w:sz w:val="21"/>
        </w:rPr>
        <w:tab/>
        <w:t>18</w:t>
      </w:r>
    </w:p>
    <w:p w14:paraId="7B184900">
      <w:pPr>
        <w:tabs>
          <w:tab w:val="right" w:leader="dot" w:pos="9071"/>
        </w:tabs>
        <w:spacing w:line="240" w:lineRule="auto"/>
        <w:ind w:left="420"/>
      </w:pPr>
      <w:r>
        <w:rPr>
          <w:rFonts w:ascii="Arial" w:hAnsi="Arial" w:eastAsia="宋体"/>
          <w:sz w:val="21"/>
        </w:rPr>
        <w:t>9.3 维护保养计划：周期性保养与滤袋管理</w:t>
      </w:r>
      <w:r>
        <w:rPr>
          <w:rFonts w:ascii="Arial" w:hAnsi="Arial" w:eastAsia="宋体"/>
          <w:sz w:val="21"/>
        </w:rPr>
        <w:tab/>
        <w:t>18</w:t>
      </w:r>
    </w:p>
    <w:p w14:paraId="2B9A655D">
      <w:pPr>
        <w:tabs>
          <w:tab w:val="right" w:leader="dot" w:pos="9071"/>
        </w:tabs>
        <w:spacing w:line="240" w:lineRule="auto"/>
        <w:ind w:left="420"/>
      </w:pPr>
      <w:r>
        <w:rPr>
          <w:rFonts w:ascii="Arial" w:hAnsi="Arial" w:eastAsia="宋体"/>
          <w:sz w:val="21"/>
        </w:rPr>
        <w:t>9.4 备品备件管理：关键易损件储备</w:t>
      </w:r>
      <w:r>
        <w:rPr>
          <w:rFonts w:ascii="Arial" w:hAnsi="Arial" w:eastAsia="宋体"/>
          <w:sz w:val="21"/>
        </w:rPr>
        <w:tab/>
        <w:t>18</w:t>
      </w:r>
    </w:p>
    <w:p w14:paraId="280B400A">
      <w:pPr>
        <w:tabs>
          <w:tab w:val="right" w:leader="dot" w:pos="9071"/>
        </w:tabs>
        <w:spacing w:line="240" w:lineRule="auto"/>
        <w:ind w:left="420"/>
      </w:pPr>
      <w:r>
        <w:rPr>
          <w:rFonts w:ascii="Arial" w:hAnsi="Arial" w:eastAsia="宋体"/>
          <w:sz w:val="21"/>
        </w:rPr>
        <w:t>9.5 常见故障与处理：快速定位与处置</w:t>
      </w:r>
      <w:r>
        <w:rPr>
          <w:rFonts w:ascii="Arial" w:hAnsi="Arial" w:eastAsia="宋体"/>
          <w:sz w:val="21"/>
        </w:rPr>
        <w:tab/>
        <w:t>19</w:t>
      </w:r>
    </w:p>
    <w:p w14:paraId="7DEEF238">
      <w:pPr>
        <w:tabs>
          <w:tab w:val="right" w:leader="dot" w:pos="9071"/>
        </w:tabs>
        <w:spacing w:line="240" w:lineRule="auto"/>
        <w:ind w:left="420"/>
      </w:pPr>
      <w:r>
        <w:rPr>
          <w:rFonts w:ascii="Arial" w:hAnsi="Arial" w:eastAsia="宋体"/>
          <w:sz w:val="21"/>
        </w:rPr>
        <w:t>9.6 监测与台账管理：排放自测与记录存档</w:t>
      </w:r>
      <w:r>
        <w:rPr>
          <w:rFonts w:ascii="Arial" w:hAnsi="Arial" w:eastAsia="宋体"/>
          <w:sz w:val="21"/>
        </w:rPr>
        <w:tab/>
        <w:t>19</w:t>
      </w:r>
    </w:p>
    <w:p w14:paraId="158EDB11">
      <w:pPr>
        <w:tabs>
          <w:tab w:val="right" w:leader="dot" w:pos="9071"/>
        </w:tabs>
        <w:spacing w:line="240" w:lineRule="auto"/>
      </w:pPr>
      <w:r>
        <w:rPr>
          <w:rFonts w:ascii="Arial" w:hAnsi="Arial" w:eastAsia="宋体"/>
          <w:sz w:val="21"/>
        </w:rPr>
        <w:t>10 安全保障措施：防爆、电气、防雷与职业健康</w:t>
      </w:r>
      <w:r>
        <w:rPr>
          <w:rFonts w:ascii="Arial" w:hAnsi="Arial" w:eastAsia="宋体"/>
          <w:sz w:val="21"/>
        </w:rPr>
        <w:tab/>
        <w:t>19</w:t>
      </w:r>
    </w:p>
    <w:p w14:paraId="644AA373">
      <w:pPr>
        <w:tabs>
          <w:tab w:val="right" w:leader="dot" w:pos="9071"/>
        </w:tabs>
        <w:spacing w:line="240" w:lineRule="auto"/>
        <w:ind w:left="420"/>
      </w:pPr>
      <w:r>
        <w:rPr>
          <w:rFonts w:ascii="Arial" w:hAnsi="Arial" w:eastAsia="宋体"/>
          <w:sz w:val="21"/>
        </w:rPr>
        <w:t>10.1 粉尘防爆安全：可燃煤尘的防爆体系</w:t>
      </w:r>
      <w:r>
        <w:rPr>
          <w:rFonts w:ascii="Arial" w:hAnsi="Arial" w:eastAsia="宋体"/>
          <w:sz w:val="21"/>
        </w:rPr>
        <w:tab/>
        <w:t>19</w:t>
      </w:r>
    </w:p>
    <w:p w14:paraId="5AE4D57D">
      <w:pPr>
        <w:tabs>
          <w:tab w:val="right" w:leader="dot" w:pos="9071"/>
        </w:tabs>
        <w:spacing w:line="240" w:lineRule="auto"/>
        <w:ind w:left="420"/>
      </w:pPr>
      <w:r>
        <w:rPr>
          <w:rFonts w:ascii="Arial" w:hAnsi="Arial" w:eastAsia="宋体"/>
          <w:sz w:val="21"/>
        </w:rPr>
        <w:t>10.2 电气安全：防爆电气与用电管理</w:t>
      </w:r>
      <w:r>
        <w:rPr>
          <w:rFonts w:ascii="Arial" w:hAnsi="Arial" w:eastAsia="宋体"/>
          <w:sz w:val="21"/>
        </w:rPr>
        <w:tab/>
        <w:t>20</w:t>
      </w:r>
    </w:p>
    <w:p w14:paraId="349FE472">
      <w:pPr>
        <w:tabs>
          <w:tab w:val="right" w:leader="dot" w:pos="9071"/>
        </w:tabs>
        <w:spacing w:line="240" w:lineRule="auto"/>
        <w:ind w:left="420"/>
      </w:pPr>
      <w:r>
        <w:rPr>
          <w:rFonts w:ascii="Arial" w:hAnsi="Arial" w:eastAsia="宋体"/>
          <w:sz w:val="21"/>
        </w:rPr>
        <w:t>10.3 防雷与接地：烟囱防雷与防静电接地</w:t>
      </w:r>
      <w:r>
        <w:rPr>
          <w:rFonts w:ascii="Arial" w:hAnsi="Arial" w:eastAsia="宋体"/>
          <w:sz w:val="21"/>
        </w:rPr>
        <w:tab/>
        <w:t>20</w:t>
      </w:r>
    </w:p>
    <w:p w14:paraId="40D4E655">
      <w:pPr>
        <w:tabs>
          <w:tab w:val="right" w:leader="dot" w:pos="9071"/>
        </w:tabs>
        <w:spacing w:line="240" w:lineRule="auto"/>
        <w:ind w:left="420"/>
      </w:pPr>
      <w:r>
        <w:rPr>
          <w:rFonts w:ascii="Arial" w:hAnsi="Arial" w:eastAsia="宋体"/>
          <w:sz w:val="21"/>
        </w:rPr>
        <w:t>10.4 职业健康防护：岗位粉尘控制与健康监护</w:t>
      </w:r>
      <w:r>
        <w:rPr>
          <w:rFonts w:ascii="Arial" w:hAnsi="Arial" w:eastAsia="宋体"/>
          <w:sz w:val="21"/>
        </w:rPr>
        <w:tab/>
        <w:t>20</w:t>
      </w:r>
    </w:p>
    <w:p w14:paraId="20F157D7">
      <w:pPr>
        <w:tabs>
          <w:tab w:val="right" w:leader="dot" w:pos="9071"/>
        </w:tabs>
        <w:spacing w:line="240" w:lineRule="auto"/>
        <w:ind w:left="420"/>
      </w:pPr>
      <w:r>
        <w:rPr>
          <w:rFonts w:ascii="Arial" w:hAnsi="Arial" w:eastAsia="宋体"/>
          <w:sz w:val="21"/>
        </w:rPr>
        <w:t>10.5 安全设施配置：检修平台与警示标识</w:t>
      </w:r>
      <w:r>
        <w:rPr>
          <w:rFonts w:ascii="Arial" w:hAnsi="Arial" w:eastAsia="宋体"/>
          <w:sz w:val="21"/>
        </w:rPr>
        <w:tab/>
        <w:t>20</w:t>
      </w:r>
    </w:p>
    <w:p w14:paraId="49897AD8">
      <w:pPr>
        <w:tabs>
          <w:tab w:val="right" w:leader="dot" w:pos="9071"/>
        </w:tabs>
        <w:spacing w:line="240" w:lineRule="auto"/>
      </w:pPr>
      <w:r>
        <w:rPr>
          <w:rFonts w:ascii="Arial" w:hAnsi="Arial" w:eastAsia="宋体"/>
          <w:sz w:val="21"/>
        </w:rPr>
        <w:t>11 项目验收方案：全过程验收与合规取证</w:t>
      </w:r>
      <w:r>
        <w:rPr>
          <w:rFonts w:ascii="Arial" w:hAnsi="Arial" w:eastAsia="宋体"/>
          <w:sz w:val="21"/>
        </w:rPr>
        <w:tab/>
        <w:t>21</w:t>
      </w:r>
    </w:p>
    <w:p w14:paraId="1A453BF4">
      <w:pPr>
        <w:tabs>
          <w:tab w:val="right" w:leader="dot" w:pos="9071"/>
        </w:tabs>
        <w:spacing w:line="240" w:lineRule="auto"/>
        <w:ind w:left="420"/>
      </w:pPr>
      <w:r>
        <w:rPr>
          <w:rFonts w:ascii="Arial" w:hAnsi="Arial" w:eastAsia="宋体"/>
          <w:sz w:val="21"/>
        </w:rPr>
        <w:t>11.1 验收依据：批复、标准与合同技术协议</w:t>
      </w:r>
      <w:r>
        <w:rPr>
          <w:rFonts w:ascii="Arial" w:hAnsi="Arial" w:eastAsia="宋体"/>
          <w:sz w:val="21"/>
        </w:rPr>
        <w:tab/>
        <w:t>21</w:t>
      </w:r>
    </w:p>
    <w:p w14:paraId="47927415">
      <w:pPr>
        <w:tabs>
          <w:tab w:val="right" w:leader="dot" w:pos="9071"/>
        </w:tabs>
        <w:spacing w:line="240" w:lineRule="auto"/>
        <w:ind w:left="420"/>
      </w:pPr>
      <w:r>
        <w:rPr>
          <w:rFonts w:ascii="Arial" w:hAnsi="Arial" w:eastAsia="宋体"/>
          <w:sz w:val="21"/>
        </w:rPr>
        <w:t>11.2 验收程序：分项至竣工环保验收的递进</w:t>
      </w:r>
      <w:r>
        <w:rPr>
          <w:rFonts w:ascii="Arial" w:hAnsi="Arial" w:eastAsia="宋体"/>
          <w:sz w:val="21"/>
        </w:rPr>
        <w:tab/>
        <w:t>21</w:t>
      </w:r>
    </w:p>
    <w:p w14:paraId="2094A042">
      <w:pPr>
        <w:tabs>
          <w:tab w:val="right" w:leader="dot" w:pos="9071"/>
        </w:tabs>
        <w:spacing w:line="240" w:lineRule="auto"/>
        <w:ind w:left="420"/>
      </w:pPr>
      <w:r>
        <w:rPr>
          <w:rFonts w:ascii="Arial" w:hAnsi="Arial" w:eastAsia="宋体"/>
          <w:sz w:val="21"/>
        </w:rPr>
        <w:t>11.3 检测项目与限值：有组织、无组织与职业卫生指标</w:t>
      </w:r>
      <w:r>
        <w:rPr>
          <w:rFonts w:ascii="Arial" w:hAnsi="Arial" w:eastAsia="宋体"/>
          <w:sz w:val="21"/>
        </w:rPr>
        <w:tab/>
        <w:t>21</w:t>
      </w:r>
    </w:p>
    <w:p w14:paraId="55BFF357">
      <w:pPr>
        <w:tabs>
          <w:tab w:val="right" w:leader="dot" w:pos="9071"/>
        </w:tabs>
        <w:spacing w:line="240" w:lineRule="auto"/>
        <w:ind w:left="420"/>
      </w:pPr>
      <w:r>
        <w:rPr>
          <w:rFonts w:ascii="Arial" w:hAnsi="Arial" w:eastAsia="宋体"/>
          <w:sz w:val="21"/>
        </w:rPr>
        <w:t>11.4 验收资料清单：完整可追溯的报审文件</w:t>
      </w:r>
      <w:r>
        <w:rPr>
          <w:rFonts w:ascii="Arial" w:hAnsi="Arial" w:eastAsia="宋体"/>
          <w:sz w:val="21"/>
        </w:rPr>
        <w:tab/>
        <w:t>21</w:t>
      </w:r>
    </w:p>
    <w:p w14:paraId="406AEB82">
      <w:pPr>
        <w:tabs>
          <w:tab w:val="right" w:leader="dot" w:pos="9071"/>
        </w:tabs>
        <w:spacing w:line="240" w:lineRule="auto"/>
        <w:ind w:left="420"/>
      </w:pPr>
      <w:r>
        <w:rPr>
          <w:rFonts w:ascii="Arial" w:hAnsi="Arial" w:eastAsia="宋体"/>
          <w:sz w:val="21"/>
        </w:rPr>
        <w:t>11.5 第三方检测要求：CMA机构与规范采样</w:t>
      </w:r>
      <w:r>
        <w:rPr>
          <w:rFonts w:ascii="Arial" w:hAnsi="Arial" w:eastAsia="宋体"/>
          <w:sz w:val="21"/>
        </w:rPr>
        <w:tab/>
        <w:t>22</w:t>
      </w:r>
    </w:p>
    <w:p w14:paraId="0DA06767">
      <w:pPr>
        <w:tabs>
          <w:tab w:val="right" w:leader="dot" w:pos="9071"/>
        </w:tabs>
        <w:spacing w:line="240" w:lineRule="auto"/>
      </w:pPr>
      <w:r>
        <w:rPr>
          <w:rFonts w:ascii="Arial" w:hAnsi="Arial" w:eastAsia="宋体"/>
          <w:sz w:val="21"/>
        </w:rPr>
        <w:t>12 合规性说明：排放、职业卫生与安全多维度合规</w:t>
      </w:r>
      <w:r>
        <w:rPr>
          <w:rFonts w:ascii="Arial" w:hAnsi="Arial" w:eastAsia="宋体"/>
          <w:sz w:val="21"/>
        </w:rPr>
        <w:tab/>
        <w:t>22</w:t>
      </w:r>
    </w:p>
    <w:p w14:paraId="52BFF507">
      <w:pPr>
        <w:tabs>
          <w:tab w:val="right" w:leader="dot" w:pos="9071"/>
        </w:tabs>
        <w:spacing w:line="240" w:lineRule="auto"/>
        <w:ind w:left="420"/>
      </w:pPr>
      <w:r>
        <w:rPr>
          <w:rFonts w:ascii="Arial" w:hAnsi="Arial" w:eastAsia="宋体"/>
          <w:sz w:val="21"/>
        </w:rPr>
        <w:t>12.1 大气污染物排放合规</w:t>
      </w:r>
      <w:r>
        <w:rPr>
          <w:rFonts w:ascii="Arial" w:hAnsi="Arial" w:eastAsia="宋体"/>
          <w:sz w:val="21"/>
        </w:rPr>
        <w:tab/>
        <w:t>22</w:t>
      </w:r>
    </w:p>
    <w:p w14:paraId="0B802BC7">
      <w:pPr>
        <w:tabs>
          <w:tab w:val="right" w:leader="dot" w:pos="9071"/>
        </w:tabs>
        <w:spacing w:line="240" w:lineRule="auto"/>
        <w:ind w:left="420"/>
      </w:pPr>
      <w:r>
        <w:rPr>
          <w:rFonts w:ascii="Arial" w:hAnsi="Arial" w:eastAsia="宋体"/>
          <w:sz w:val="21"/>
        </w:rPr>
        <w:t>12.2 职业卫生合规</w:t>
      </w:r>
      <w:r>
        <w:rPr>
          <w:rFonts w:ascii="Arial" w:hAnsi="Arial" w:eastAsia="宋体"/>
          <w:sz w:val="21"/>
        </w:rPr>
        <w:tab/>
        <w:t>22</w:t>
      </w:r>
    </w:p>
    <w:p w14:paraId="5243E2EE">
      <w:pPr>
        <w:tabs>
          <w:tab w:val="right" w:leader="dot" w:pos="9071"/>
        </w:tabs>
        <w:spacing w:line="240" w:lineRule="auto"/>
        <w:ind w:left="420"/>
      </w:pPr>
      <w:r>
        <w:rPr>
          <w:rFonts w:ascii="Arial" w:hAnsi="Arial" w:eastAsia="宋体"/>
          <w:sz w:val="21"/>
        </w:rPr>
        <w:t>12.3 粉尘防爆与安全合规</w:t>
      </w:r>
      <w:r>
        <w:rPr>
          <w:rFonts w:ascii="Arial" w:hAnsi="Arial" w:eastAsia="宋体"/>
          <w:sz w:val="21"/>
        </w:rPr>
        <w:tab/>
        <w:t>22</w:t>
      </w:r>
    </w:p>
    <w:p w14:paraId="6932B480">
      <w:pPr>
        <w:tabs>
          <w:tab w:val="right" w:leader="dot" w:pos="9071"/>
        </w:tabs>
        <w:spacing w:line="240" w:lineRule="auto"/>
        <w:ind w:left="420"/>
      </w:pPr>
      <w:r>
        <w:rPr>
          <w:rFonts w:ascii="Arial" w:hAnsi="Arial" w:eastAsia="宋体"/>
          <w:sz w:val="21"/>
        </w:rPr>
        <w:t>12.4 环评批复与竣工环保验收衔接</w:t>
      </w:r>
      <w:r>
        <w:rPr>
          <w:rFonts w:ascii="Arial" w:hAnsi="Arial" w:eastAsia="宋体"/>
          <w:sz w:val="21"/>
        </w:rPr>
        <w:tab/>
        <w:t>23</w:t>
      </w:r>
    </w:p>
    <w:p w14:paraId="25CC7D7C">
      <w:pPr>
        <w:tabs>
          <w:tab w:val="right" w:leader="dot" w:pos="9071"/>
        </w:tabs>
        <w:spacing w:line="240" w:lineRule="auto"/>
        <w:ind w:left="420"/>
      </w:pPr>
      <w:r>
        <w:rPr>
          <w:rFonts w:ascii="Arial" w:hAnsi="Arial" w:eastAsia="宋体"/>
          <w:sz w:val="21"/>
        </w:rPr>
        <w:t>12.5 合规风险提示与应对</w:t>
      </w:r>
      <w:r>
        <w:rPr>
          <w:rFonts w:ascii="Arial" w:hAnsi="Arial" w:eastAsia="宋体"/>
          <w:sz w:val="21"/>
        </w:rPr>
        <w:tab/>
        <w:t>23</w:t>
      </w:r>
    </w:p>
    <w:p w14:paraId="00D3F7BD">
      <w:pPr>
        <w:tabs>
          <w:tab w:val="right" w:leader="dot" w:pos="9071"/>
        </w:tabs>
        <w:spacing w:line="240" w:lineRule="auto"/>
      </w:pPr>
      <w:r>
        <w:rPr>
          <w:rFonts w:ascii="Arial" w:hAnsi="Arial" w:eastAsia="宋体"/>
          <w:sz w:val="21"/>
        </w:rPr>
        <w:t>13 项目重难点及解决方案：关键风险与应对策略</w:t>
      </w:r>
      <w:r>
        <w:rPr>
          <w:rFonts w:ascii="Arial" w:hAnsi="Arial" w:eastAsia="宋体"/>
          <w:sz w:val="21"/>
        </w:rPr>
        <w:tab/>
        <w:t>23</w:t>
      </w:r>
    </w:p>
    <w:p w14:paraId="753FDD50">
      <w:pPr>
        <w:tabs>
          <w:tab w:val="right" w:leader="dot" w:pos="9071"/>
        </w:tabs>
        <w:spacing w:line="240" w:lineRule="auto"/>
        <w:ind w:left="420"/>
      </w:pPr>
      <w:r>
        <w:rPr>
          <w:rFonts w:ascii="Arial" w:hAnsi="Arial" w:eastAsia="宋体"/>
          <w:sz w:val="21"/>
        </w:rPr>
        <w:t>13.1 大空间车间粉尘捕集难题：副翼式吸风罩与气流组织</w:t>
      </w:r>
      <w:r>
        <w:rPr>
          <w:rFonts w:ascii="Arial" w:hAnsi="Arial" w:eastAsia="宋体"/>
          <w:sz w:val="21"/>
        </w:rPr>
        <w:tab/>
        <w:t>23</w:t>
      </w:r>
    </w:p>
    <w:p w14:paraId="1B9FE2CD">
      <w:pPr>
        <w:tabs>
          <w:tab w:val="right" w:leader="dot" w:pos="9071"/>
        </w:tabs>
        <w:spacing w:line="240" w:lineRule="auto"/>
        <w:ind w:left="420"/>
      </w:pPr>
      <w:r>
        <w:rPr>
          <w:rFonts w:ascii="Arial" w:hAnsi="Arial" w:eastAsia="宋体"/>
          <w:sz w:val="21"/>
        </w:rPr>
        <w:t>13.2 煤尘防爆安全难题：全过程防爆设计</w:t>
      </w:r>
      <w:r>
        <w:rPr>
          <w:rFonts w:ascii="Arial" w:hAnsi="Arial" w:eastAsia="宋体"/>
          <w:sz w:val="21"/>
        </w:rPr>
        <w:tab/>
        <w:t>23</w:t>
      </w:r>
    </w:p>
    <w:p w14:paraId="1FD801E5">
      <w:pPr>
        <w:tabs>
          <w:tab w:val="right" w:leader="dot" w:pos="9071"/>
        </w:tabs>
        <w:spacing w:line="240" w:lineRule="auto"/>
        <w:ind w:left="420"/>
      </w:pPr>
      <w:r>
        <w:rPr>
          <w:rFonts w:ascii="Arial" w:hAnsi="Arial" w:eastAsia="宋体"/>
          <w:sz w:val="21"/>
        </w:rPr>
        <w:t>13.3 多尘源阻力平衡与节能难题：分区控制与变频调节</w:t>
      </w:r>
      <w:r>
        <w:rPr>
          <w:rFonts w:ascii="Arial" w:hAnsi="Arial" w:eastAsia="宋体"/>
          <w:sz w:val="21"/>
        </w:rPr>
        <w:tab/>
        <w:t>24</w:t>
      </w:r>
    </w:p>
    <w:p w14:paraId="73865758">
      <w:pPr>
        <w:tabs>
          <w:tab w:val="right" w:leader="dot" w:pos="9071"/>
        </w:tabs>
        <w:spacing w:line="240" w:lineRule="auto"/>
        <w:ind w:left="420"/>
      </w:pPr>
      <w:r>
        <w:rPr>
          <w:rFonts w:ascii="Arial" w:hAnsi="Arial" w:eastAsia="宋体"/>
          <w:sz w:val="21"/>
        </w:rPr>
        <w:t>13.4 施工与生产交叉难题：分区分段与窗口施工</w:t>
      </w:r>
      <w:r>
        <w:rPr>
          <w:rFonts w:ascii="Arial" w:hAnsi="Arial" w:eastAsia="宋体"/>
          <w:sz w:val="21"/>
        </w:rPr>
        <w:tab/>
        <w:t>24</w:t>
      </w:r>
    </w:p>
    <w:p w14:paraId="66FECB0E">
      <w:pPr>
        <w:tabs>
          <w:tab w:val="right" w:leader="dot" w:pos="9071"/>
        </w:tabs>
        <w:spacing w:line="240" w:lineRule="auto"/>
        <w:ind w:left="420"/>
      </w:pPr>
      <w:r>
        <w:rPr>
          <w:rFonts w:ascii="Arial" w:hAnsi="Arial" w:eastAsia="宋体"/>
          <w:sz w:val="21"/>
        </w:rPr>
        <w:t>13.5 长期稳定运行难题：低压脉冲与规范运维</w:t>
      </w:r>
      <w:r>
        <w:rPr>
          <w:rFonts w:ascii="Arial" w:hAnsi="Arial" w:eastAsia="宋体"/>
          <w:sz w:val="21"/>
        </w:rPr>
        <w:tab/>
        <w:t>24</w:t>
      </w:r>
    </w:p>
    <w:p w14:paraId="187A6B5D">
      <w:pPr>
        <w:tabs>
          <w:tab w:val="right" w:leader="dot" w:pos="9071"/>
        </w:tabs>
        <w:spacing w:line="240" w:lineRule="auto"/>
      </w:pPr>
      <w:r>
        <w:rPr>
          <w:rFonts w:ascii="Arial" w:hAnsi="Arial" w:eastAsia="宋体"/>
          <w:sz w:val="21"/>
        </w:rPr>
        <w:t>附录A 行业核心工艺优势总结：长袋低压脉冲袋式除尘技术的工程价值</w:t>
      </w:r>
      <w:r>
        <w:rPr>
          <w:rFonts w:ascii="Arial" w:hAnsi="Arial" w:eastAsia="宋体"/>
          <w:sz w:val="21"/>
        </w:rPr>
        <w:tab/>
        <w:t>25</w:t>
      </w:r>
    </w:p>
    <w:p w14:paraId="1B320F38">
      <w:pPr>
        <w:tabs>
          <w:tab w:val="right" w:leader="dot" w:pos="9071"/>
        </w:tabs>
        <w:spacing w:line="240" w:lineRule="auto"/>
      </w:pPr>
      <w:r>
        <w:rPr>
          <w:rFonts w:ascii="Arial" w:hAnsi="Arial" w:eastAsia="宋体"/>
          <w:sz w:val="21"/>
        </w:rPr>
        <w:t>附录B 工程高频问题解决方案：除尘系统建设与运行实战对策</w:t>
      </w:r>
      <w:r>
        <w:rPr>
          <w:rFonts w:ascii="Arial" w:hAnsi="Arial" w:eastAsia="宋体"/>
          <w:sz w:val="21"/>
        </w:rPr>
        <w:tab/>
        <w:t>26</w:t>
      </w:r>
    </w:p>
    <w:p w14:paraId="2916CB8D">
      <w:pPr>
        <w:tabs>
          <w:tab w:val="right" w:leader="dot" w:pos="9071"/>
        </w:tabs>
        <w:spacing w:line="240" w:lineRule="auto"/>
      </w:pPr>
      <w:r>
        <w:rPr>
          <w:rFonts w:ascii="Arial" w:hAnsi="Arial" w:eastAsia="宋体"/>
          <w:sz w:val="21"/>
        </w:rPr>
        <w:t>附录C 行业标准FAQ问答板块：工业粉尘治理常见问题解答</w:t>
      </w:r>
      <w:r>
        <w:rPr>
          <w:rFonts w:ascii="Arial" w:hAnsi="Arial" w:eastAsia="宋体"/>
          <w:sz w:val="21"/>
        </w:rPr>
        <w:tab/>
        <w:t>27</w:t>
      </w:r>
    </w:p>
    <w:p w14:paraId="34AB5C80">
      <w:pPr>
        <w:sectPr>
          <w:pgSz w:w="11906" w:h="16838"/>
          <w:pgMar w:top="1417" w:right="1417" w:bottom="1417" w:left="1417" w:header="720" w:footer="720" w:gutter="0"/>
          <w:cols w:space="720" w:num="1"/>
          <w:docGrid w:linePitch="360" w:charSpace="0"/>
        </w:sectPr>
      </w:pPr>
    </w:p>
    <w:p w14:paraId="55A7CD5E">
      <w:pPr>
        <w:pStyle w:val="3"/>
      </w:pPr>
      <w:r>
        <w:rPr>
          <w:rFonts w:ascii="Arial" w:hAnsi="Arial" w:eastAsia="黑体"/>
          <w:b/>
          <w:color w:val="000000"/>
          <w:sz w:val="32"/>
        </w:rPr>
        <w:t>1 项目概况：治理背景、工程范围与达标目标</w:t>
      </w:r>
    </w:p>
    <w:p w14:paraId="23FAC93E">
      <w:pPr>
        <w:pStyle w:val="4"/>
      </w:pPr>
      <w:r>
        <w:rPr>
          <w:rFonts w:ascii="Arial" w:hAnsi="Arial" w:eastAsia="黑体"/>
          <w:b/>
          <w:color w:val="000000"/>
          <w:sz w:val="28"/>
        </w:rPr>
        <w:t>1.1 项目背景与治理必要性：煤粉粉尘治理的合规与安全价值</w:t>
      </w:r>
    </w:p>
    <w:p w14:paraId="74110CC7">
      <w:r>
        <w:rPr>
          <w:rFonts w:ascii="Arial" w:hAnsi="Arial" w:eastAsia="宋体"/>
          <w:b w:val="0"/>
          <w:sz w:val="24"/>
        </w:rPr>
        <w:t>本项目针对某增碳剂生产企业的煤粉粉尘污染开展系统性治理。企业以优质无烟煤和石油焦为主要原材料生产增碳剂，该类产品可增加钢液碳含量与氧含量、改善其刚性与韧性，提高钢液的形核能力和钢坯的内在质量，是生产优质钢材和铸件必不可少的辅助添加剂。</w:t>
      </w:r>
    </w:p>
    <w:p w14:paraId="69B7A2C2">
      <w:r>
        <w:rPr>
          <w:rFonts w:ascii="Arial" w:hAnsi="Arial" w:eastAsia="宋体"/>
          <w:b w:val="0"/>
          <w:sz w:val="24"/>
        </w:rPr>
        <w:t>煤粉粉尘治理是环保合规、职业健康与安全生产的刚性要求。在原料储存、装载、转运、筛分与输送等环节，掺杂于颗粒煤中的细小颗粒物易漂浮于车间空气中并无规则扩散，由此带来四方面风险：一是颗粒物无组织排放与有组织排放超标风险，直接涉及大气污染物排放标准合规性；二是岗位粉尘浓度升高，长期接触可诱发尘肺病等职业疾病，涉及职业健康监护责任；三是煤粉属于可燃性粉尘，存在粉尘爆炸与自燃的安全隐患；四是粉尘沉降造成设备磨损、电气元件积灰与作业环境恶化，影响产品质量和生产效率。</w:t>
      </w:r>
    </w:p>
    <w:p w14:paraId="677D9EFC">
      <w:r>
        <w:rPr>
          <w:rFonts w:ascii="Arial" w:hAnsi="Arial" w:eastAsia="宋体"/>
          <w:b w:val="0"/>
          <w:sz w:val="24"/>
        </w:rPr>
        <w:t>实施本治理工程的直接价值在于：通过“尘源捕集—管道输送—高效净化—达标排放”的成套治理设施，将粉尘治理贯穿生产全过程，实现排放达标、职业健康达标与粉尘防爆安全达标三重目标，并为后续环评批复执行和竣工环保验收提供工程支撑。</w:t>
      </w:r>
    </w:p>
    <w:p w14:paraId="13B2D7B3">
      <w:pPr>
        <w:pStyle w:val="4"/>
      </w:pPr>
      <w:r>
        <w:rPr>
          <w:rFonts w:ascii="Arial" w:hAnsi="Arial" w:eastAsia="黑体"/>
          <w:b/>
          <w:color w:val="000000"/>
          <w:sz w:val="28"/>
        </w:rPr>
        <w:t>1.2 工程范围与处理规模：成套治理设施与总处理能力</w:t>
      </w:r>
    </w:p>
    <w:p w14:paraId="0C2B42B4">
      <w:r>
        <w:rPr>
          <w:rFonts w:ascii="Arial" w:hAnsi="Arial" w:eastAsia="宋体"/>
          <w:b w:val="0"/>
          <w:sz w:val="24"/>
        </w:rPr>
        <w:t>本工程治理对象为增碳剂生产车间煤粉装载、转运、筛分、输送等产尘环节产生的煤粉粉尘。工程范围覆盖从煤仓（尘源点）粉尘治理工艺、设备及管道等全部设施，以及配套的电气控制系统与安全监测装置，具体包括：副翼式吸风罩捕集系统、防爆电动风阀与风管系统、长袋低压脉冲布袋除尘器、离心通风机引风系统、烟囱排放系统、变频电控系统及粉尘防爆监测装置。</w:t>
      </w:r>
    </w:p>
    <w:p w14:paraId="296EC179">
      <w:r>
        <w:rPr>
          <w:rFonts w:ascii="Arial" w:hAnsi="Arial" w:eastAsia="宋体"/>
          <w:b w:val="0"/>
          <w:sz w:val="24"/>
        </w:rPr>
        <w:t>系统规模按产尘点分布与同时扬尘工况核算确定：单套除尘系统设计处理风量50000 m³/h，全厂配置2套，总处理能力100000 m³/h；单套系统过滤面积789 m²，设计过滤风速1.05 m/min，满足煤粉粉尘治理的捕集与净化要求。</w:t>
      </w:r>
    </w:p>
    <w:p w14:paraId="124946F9">
      <w:pPr>
        <w:pStyle w:val="4"/>
      </w:pPr>
      <w:r>
        <w:rPr>
          <w:rFonts w:ascii="Arial" w:hAnsi="Arial" w:eastAsia="黑体"/>
          <w:b/>
          <w:color w:val="000000"/>
          <w:sz w:val="28"/>
        </w:rPr>
        <w:t>1.3 治理目标与主要指标：严于国家标准的达标承诺</w:t>
      </w:r>
    </w:p>
    <w:p w14:paraId="456A7C74">
      <w:r>
        <w:rPr>
          <w:rFonts w:ascii="Arial" w:hAnsi="Arial" w:eastAsia="宋体"/>
          <w:b w:val="0"/>
          <w:sz w:val="24"/>
        </w:rPr>
        <w:t>本工程以“排放达标、安全防爆、稳定运行、经济合理”为总体治理目标，主要指标如下：</w:t>
      </w:r>
    </w:p>
    <w:p w14:paraId="0C04F024">
      <w:r>
        <w:rPr>
          <w:rFonts w:ascii="Arial" w:hAnsi="Arial" w:eastAsia="宋体"/>
          <w:b w:val="0"/>
          <w:sz w:val="24"/>
        </w:rPr>
        <w:t>（1）除尘器出口颗粒物排放浓度≤20 mg/Nm³，严于GB 16297-1996《大气污染物综合排放标准》中颗粒物最高允许排放浓度（新污染源120 mg/m³）的限值要求，显著改善厂区环境质量；</w:t>
      </w:r>
    </w:p>
    <w:p w14:paraId="64BC5928">
      <w:r>
        <w:rPr>
          <w:rFonts w:ascii="Arial" w:hAnsi="Arial" w:eastAsia="宋体"/>
          <w:b w:val="0"/>
          <w:sz w:val="24"/>
        </w:rPr>
        <w:t>（2）治理后车间环境粉尘浓度较治理前显著降低，改善目标≤20 mg/m³；岗位粉尘浓度满足GBZ 2.1-2019《工作场所有害因素职业接触限值 第1部分：化学有害因素》的职业接触限值要求；</w:t>
      </w:r>
    </w:p>
    <w:p w14:paraId="2805ACBE">
      <w:r>
        <w:rPr>
          <w:rFonts w:ascii="Arial" w:hAnsi="Arial" w:eastAsia="宋体"/>
          <w:b w:val="0"/>
          <w:sz w:val="24"/>
        </w:rPr>
        <w:t>（3）除尘系统设备阻力≤1500 Pa（清灰后恢复值），降低运行能耗；系统具备长期稳定运行能力，降低维修成本；</w:t>
      </w:r>
    </w:p>
    <w:p w14:paraId="6DDC9F85">
      <w:r>
        <w:rPr>
          <w:rFonts w:ascii="Arial" w:hAnsi="Arial" w:eastAsia="宋体"/>
          <w:b w:val="0"/>
          <w:sz w:val="24"/>
        </w:rPr>
        <w:t>（4）全系统按可燃性煤粉防爆要求设计：采用抗静电滤料、防爆结构、防爆电动风阀，并配置粉尘浓度监测报警装置，消除煤尘爆炸与自燃重大安全隐患；</w:t>
      </w:r>
    </w:p>
    <w:p w14:paraId="46B70B5F">
      <w:r>
        <w:rPr>
          <w:rFonts w:ascii="Arial" w:hAnsi="Arial" w:eastAsia="宋体"/>
          <w:b w:val="0"/>
          <w:sz w:val="24"/>
        </w:rPr>
        <w:t>（5）除尘系统布置与运行不影响生产工艺设备正常运行及岗位工人操作，最大限度节约工程投资。</w:t>
      </w:r>
    </w:p>
    <w:p w14:paraId="651078BC">
      <w:r>
        <w:rPr>
          <w:rFonts w:ascii="Arial" w:hAnsi="Arial" w:eastAsia="宋体"/>
          <w:b w:val="0"/>
          <w:sz w:val="24"/>
        </w:rPr>
        <w:t>方案编制说明：本方案为脱敏通用技术版本，已移除企业主体信息、项目编号、厂区坐标、联系方式与商务报价数据；设备投资概算与商务条款另行提供，不构成本技术方案的组成部分。</w:t>
      </w:r>
    </w:p>
    <w:p w14:paraId="1ACA6BF7">
      <w:pPr>
        <w:pStyle w:val="3"/>
      </w:pPr>
      <w:r>
        <w:rPr>
          <w:rFonts w:ascii="Arial" w:hAnsi="Arial" w:eastAsia="黑体"/>
          <w:b/>
          <w:color w:val="000000"/>
          <w:sz w:val="32"/>
        </w:rPr>
        <w:t>2 治理依据与执行标准：现行标准体系与设计原则</w:t>
      </w:r>
    </w:p>
    <w:p w14:paraId="18964B73">
      <w:pPr>
        <w:pStyle w:val="4"/>
      </w:pPr>
      <w:r>
        <w:rPr>
          <w:rFonts w:ascii="Arial" w:hAnsi="Arial" w:eastAsia="黑体"/>
          <w:b/>
          <w:color w:val="000000"/>
          <w:sz w:val="28"/>
        </w:rPr>
        <w:t>2.1 设计原则：经济适用与安全稳定并重</w:t>
      </w:r>
    </w:p>
    <w:p w14:paraId="7126D640">
      <w:r>
        <w:rPr>
          <w:rFonts w:ascii="Arial" w:hAnsi="Arial" w:eastAsia="宋体"/>
          <w:b w:val="0"/>
          <w:sz w:val="24"/>
        </w:rPr>
        <w:t>本工程设计遵循“技术先进、经济合理、运行可靠、操作简便”的总原则，具体落实为以下五项要求：</w:t>
      </w:r>
    </w:p>
    <w:p w14:paraId="523A9F02">
      <w:r>
        <w:rPr>
          <w:rFonts w:ascii="Arial" w:hAnsi="Arial" w:eastAsia="宋体"/>
          <w:b w:val="0"/>
          <w:sz w:val="24"/>
        </w:rPr>
        <w:t>（1）采用经济、先进、实用、操作简单、维修方便、运行稳定可靠的除尘设备和控制系统，保证除尘系统长期稳定运行；</w:t>
      </w:r>
    </w:p>
    <w:p w14:paraId="426539F8">
      <w:r>
        <w:rPr>
          <w:rFonts w:ascii="Arial" w:hAnsi="Arial" w:eastAsia="宋体"/>
          <w:b w:val="0"/>
          <w:sz w:val="24"/>
        </w:rPr>
        <w:t>（2）深入现场踏勘与调研，充分考虑现有除尘系统的改造潜力，减少新建工程量，控制工程投资；</w:t>
      </w:r>
    </w:p>
    <w:p w14:paraId="0C03C89A">
      <w:r>
        <w:rPr>
          <w:rFonts w:ascii="Arial" w:hAnsi="Arial" w:eastAsia="宋体"/>
          <w:b w:val="0"/>
          <w:sz w:val="24"/>
        </w:rPr>
        <w:t>（3）根据尘源点的分布与生产方式不同，合理划分系统，设置相对独立的除尘系统，优化管道风速，降低系统阻力与运行费用；</w:t>
      </w:r>
    </w:p>
    <w:p w14:paraId="09E65100">
      <w:r>
        <w:rPr>
          <w:rFonts w:ascii="Arial" w:hAnsi="Arial" w:eastAsia="宋体"/>
          <w:b w:val="0"/>
          <w:sz w:val="24"/>
        </w:rPr>
        <w:t>（4）采用先进的尘源密闭捕集技术与成熟经验，设置行之有效的尘源捕集方式，确定经济合理的抽风量，缩小系统规模、节约工程投资；</w:t>
      </w:r>
    </w:p>
    <w:p w14:paraId="21F2D6E0">
      <w:r>
        <w:rPr>
          <w:rFonts w:ascii="Arial" w:hAnsi="Arial" w:eastAsia="宋体"/>
          <w:b w:val="0"/>
          <w:sz w:val="24"/>
        </w:rPr>
        <w:t>（5）除尘系统设备设计及选型遵循“国内技术领先、经济合理”原则，系统布置、运行及尘源点密闭不影响生产设备运行及岗位工人操作。</w:t>
      </w:r>
    </w:p>
    <w:p w14:paraId="0B3AA3EE">
      <w:pPr>
        <w:pStyle w:val="4"/>
      </w:pPr>
      <w:r>
        <w:rPr>
          <w:rFonts w:ascii="Arial" w:hAnsi="Arial" w:eastAsia="黑体"/>
          <w:b/>
          <w:color w:val="000000"/>
          <w:sz w:val="28"/>
        </w:rPr>
        <w:t>2.2 执行标准与规范：现行有效的设计验收依据</w:t>
      </w:r>
    </w:p>
    <w:p w14:paraId="01A64EED">
      <w:r>
        <w:rPr>
          <w:rFonts w:ascii="Arial" w:hAnsi="Arial" w:eastAsia="宋体"/>
          <w:b w:val="0"/>
          <w:sz w:val="24"/>
        </w:rPr>
        <w:t>本工程设计与验收严格执行下列现行有效的国家标准、行业标准与技术规范；当地方标准严于国家标准时，从其规定，且环评批复提出的指标要求从严执行。</w:t>
      </w:r>
    </w:p>
    <w:p w14:paraId="12AB04CB">
      <w:pPr>
        <w:pStyle w:val="15"/>
      </w:pPr>
      <w:r>
        <w:rPr>
          <w:rFonts w:ascii="Arial" w:hAnsi="Arial" w:eastAsia="宋体"/>
          <w:b w:val="0"/>
          <w:color w:val="000000"/>
          <w:sz w:val="21"/>
        </w:rPr>
        <w:t>表1 本工程执行的标准与规范清单</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346FC6C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blHeader/>
          <w:jc w:val="center"/>
        </w:trPr>
        <w:tc>
          <w:tcPr>
            <w:tcW w:w="680" w:type="dxa"/>
            <w:shd w:val="clear" w:color="auto" w:fill="D9D9D9"/>
            <w:vAlign w:val="center"/>
          </w:tcPr>
          <w:p w14:paraId="027C1180">
            <w:pPr>
              <w:pStyle w:val="164"/>
              <w:spacing w:before="40" w:after="40" w:line="240" w:lineRule="auto"/>
              <w:ind w:firstLine="0"/>
              <w:jc w:val="center"/>
            </w:pPr>
            <w:r>
              <w:rPr>
                <w:rFonts w:ascii="Arial" w:hAnsi="Arial" w:eastAsia="宋体"/>
                <w:b/>
                <w:sz w:val="21"/>
              </w:rPr>
              <w:t>序号</w:t>
            </w:r>
          </w:p>
        </w:tc>
        <w:tc>
          <w:tcPr>
            <w:tcW w:w="2608" w:type="dxa"/>
            <w:shd w:val="clear" w:color="auto" w:fill="D9D9D9"/>
            <w:vAlign w:val="center"/>
          </w:tcPr>
          <w:p w14:paraId="22D8CB37">
            <w:pPr>
              <w:pStyle w:val="164"/>
              <w:spacing w:before="40" w:after="40" w:line="240" w:lineRule="auto"/>
              <w:ind w:firstLine="0"/>
              <w:jc w:val="center"/>
            </w:pPr>
            <w:r>
              <w:rPr>
                <w:rFonts w:ascii="Arial" w:hAnsi="Arial" w:eastAsia="宋体"/>
                <w:b/>
                <w:sz w:val="21"/>
              </w:rPr>
              <w:t>标准编号</w:t>
            </w:r>
          </w:p>
        </w:tc>
        <w:tc>
          <w:tcPr>
            <w:tcW w:w="3515" w:type="dxa"/>
            <w:shd w:val="clear" w:color="auto" w:fill="D9D9D9"/>
            <w:vAlign w:val="center"/>
          </w:tcPr>
          <w:p w14:paraId="6DFC8CBE">
            <w:pPr>
              <w:pStyle w:val="164"/>
              <w:spacing w:before="40" w:after="40" w:line="240" w:lineRule="auto"/>
              <w:ind w:firstLine="0"/>
              <w:jc w:val="center"/>
            </w:pPr>
            <w:r>
              <w:rPr>
                <w:rFonts w:ascii="Arial" w:hAnsi="Arial" w:eastAsia="宋体"/>
                <w:b/>
                <w:sz w:val="21"/>
              </w:rPr>
              <w:t>标准名称</w:t>
            </w:r>
          </w:p>
        </w:tc>
        <w:tc>
          <w:tcPr>
            <w:tcW w:w="2268" w:type="dxa"/>
            <w:shd w:val="clear" w:color="auto" w:fill="D9D9D9"/>
            <w:vAlign w:val="center"/>
          </w:tcPr>
          <w:p w14:paraId="128F8F66">
            <w:pPr>
              <w:pStyle w:val="164"/>
              <w:spacing w:before="40" w:after="40" w:line="240" w:lineRule="auto"/>
              <w:ind w:firstLine="0"/>
              <w:jc w:val="center"/>
            </w:pPr>
            <w:r>
              <w:rPr>
                <w:rFonts w:ascii="Arial" w:hAnsi="Arial" w:eastAsia="宋体"/>
                <w:b/>
                <w:sz w:val="21"/>
              </w:rPr>
              <w:t>在本工程中的应用</w:t>
            </w:r>
          </w:p>
        </w:tc>
      </w:tr>
      <w:tr w14:paraId="6F720C3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B04D5ED">
            <w:pPr>
              <w:pStyle w:val="164"/>
              <w:spacing w:before="40" w:after="40" w:line="240" w:lineRule="auto"/>
              <w:ind w:firstLine="0"/>
              <w:jc w:val="center"/>
            </w:pPr>
            <w:r>
              <w:rPr>
                <w:rFonts w:ascii="Arial" w:hAnsi="Arial" w:eastAsia="宋体"/>
                <w:b w:val="0"/>
                <w:sz w:val="21"/>
              </w:rPr>
              <w:t>1</w:t>
            </w:r>
          </w:p>
        </w:tc>
        <w:tc>
          <w:tcPr>
            <w:tcW w:w="2608" w:type="dxa"/>
            <w:vAlign w:val="center"/>
          </w:tcPr>
          <w:p w14:paraId="35C301D2">
            <w:pPr>
              <w:pStyle w:val="164"/>
              <w:spacing w:before="40" w:after="40" w:line="240" w:lineRule="auto"/>
              <w:ind w:firstLine="0"/>
              <w:jc w:val="left"/>
            </w:pPr>
            <w:r>
              <w:rPr>
                <w:rFonts w:ascii="Arial" w:hAnsi="Arial" w:eastAsia="宋体"/>
                <w:b w:val="0"/>
                <w:sz w:val="21"/>
              </w:rPr>
              <w:t>GB 16297-1996</w:t>
            </w:r>
          </w:p>
        </w:tc>
        <w:tc>
          <w:tcPr>
            <w:tcW w:w="3515" w:type="dxa"/>
            <w:vAlign w:val="center"/>
          </w:tcPr>
          <w:p w14:paraId="19794557">
            <w:pPr>
              <w:pStyle w:val="164"/>
              <w:spacing w:before="40" w:after="40" w:line="240" w:lineRule="auto"/>
              <w:ind w:firstLine="0"/>
              <w:jc w:val="left"/>
            </w:pPr>
            <w:r>
              <w:rPr>
                <w:rFonts w:ascii="Arial" w:hAnsi="Arial" w:eastAsia="宋体"/>
                <w:b w:val="0"/>
                <w:sz w:val="21"/>
              </w:rPr>
              <w:t>大气污染物综合排放标准</w:t>
            </w:r>
          </w:p>
        </w:tc>
        <w:tc>
          <w:tcPr>
            <w:tcW w:w="2268" w:type="dxa"/>
            <w:vAlign w:val="center"/>
          </w:tcPr>
          <w:p w14:paraId="670BB1C4">
            <w:pPr>
              <w:pStyle w:val="164"/>
              <w:spacing w:before="40" w:after="40" w:line="240" w:lineRule="auto"/>
              <w:ind w:firstLine="0"/>
              <w:jc w:val="left"/>
            </w:pPr>
            <w:r>
              <w:rPr>
                <w:rFonts w:ascii="Arial" w:hAnsi="Arial" w:eastAsia="宋体"/>
                <w:b w:val="0"/>
                <w:sz w:val="21"/>
              </w:rPr>
              <w:t>有组织/无组织颗粒物排放限值判定</w:t>
            </w:r>
          </w:p>
        </w:tc>
      </w:tr>
      <w:tr w14:paraId="45B42A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90091B6">
            <w:pPr>
              <w:pStyle w:val="164"/>
              <w:spacing w:before="40" w:after="40" w:line="240" w:lineRule="auto"/>
              <w:ind w:firstLine="0"/>
              <w:jc w:val="center"/>
            </w:pPr>
            <w:r>
              <w:rPr>
                <w:rFonts w:ascii="Arial" w:hAnsi="Arial" w:eastAsia="宋体"/>
                <w:b w:val="0"/>
                <w:sz w:val="21"/>
              </w:rPr>
              <w:t>2</w:t>
            </w:r>
          </w:p>
        </w:tc>
        <w:tc>
          <w:tcPr>
            <w:tcW w:w="2608" w:type="dxa"/>
            <w:vAlign w:val="center"/>
          </w:tcPr>
          <w:p w14:paraId="5C9B16FD">
            <w:pPr>
              <w:pStyle w:val="164"/>
              <w:spacing w:before="40" w:after="40" w:line="240" w:lineRule="auto"/>
              <w:ind w:firstLine="0"/>
              <w:jc w:val="left"/>
            </w:pPr>
            <w:r>
              <w:rPr>
                <w:rFonts w:ascii="Arial" w:hAnsi="Arial" w:eastAsia="宋体"/>
                <w:b w:val="0"/>
                <w:sz w:val="21"/>
              </w:rPr>
              <w:t>GBZ 1-2010</w:t>
            </w:r>
          </w:p>
        </w:tc>
        <w:tc>
          <w:tcPr>
            <w:tcW w:w="3515" w:type="dxa"/>
            <w:vAlign w:val="center"/>
          </w:tcPr>
          <w:p w14:paraId="7B08546B">
            <w:pPr>
              <w:pStyle w:val="164"/>
              <w:spacing w:before="40" w:after="40" w:line="240" w:lineRule="auto"/>
              <w:ind w:firstLine="0"/>
              <w:jc w:val="left"/>
            </w:pPr>
            <w:r>
              <w:rPr>
                <w:rFonts w:ascii="Arial" w:hAnsi="Arial" w:eastAsia="宋体"/>
                <w:b w:val="0"/>
                <w:sz w:val="21"/>
              </w:rPr>
              <w:t>工业企业设计卫生标准</w:t>
            </w:r>
          </w:p>
        </w:tc>
        <w:tc>
          <w:tcPr>
            <w:tcW w:w="2268" w:type="dxa"/>
            <w:vAlign w:val="center"/>
          </w:tcPr>
          <w:p w14:paraId="6E2CEFE1">
            <w:pPr>
              <w:pStyle w:val="164"/>
              <w:spacing w:before="40" w:after="40" w:line="240" w:lineRule="auto"/>
              <w:ind w:firstLine="0"/>
              <w:jc w:val="left"/>
            </w:pPr>
            <w:r>
              <w:rPr>
                <w:rFonts w:ascii="Arial" w:hAnsi="Arial" w:eastAsia="宋体"/>
                <w:b w:val="0"/>
                <w:sz w:val="21"/>
              </w:rPr>
              <w:t>车间卫生与防尘设计</w:t>
            </w:r>
          </w:p>
        </w:tc>
      </w:tr>
      <w:tr w14:paraId="1C22B61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12EE07A2">
            <w:pPr>
              <w:pStyle w:val="164"/>
              <w:spacing w:before="40" w:after="40" w:line="240" w:lineRule="auto"/>
              <w:ind w:firstLine="0"/>
              <w:jc w:val="center"/>
            </w:pPr>
            <w:r>
              <w:rPr>
                <w:rFonts w:ascii="Arial" w:hAnsi="Arial" w:eastAsia="宋体"/>
                <w:b w:val="0"/>
                <w:sz w:val="21"/>
              </w:rPr>
              <w:t>3</w:t>
            </w:r>
          </w:p>
        </w:tc>
        <w:tc>
          <w:tcPr>
            <w:tcW w:w="2608" w:type="dxa"/>
            <w:vAlign w:val="center"/>
          </w:tcPr>
          <w:p w14:paraId="25B6DD82">
            <w:pPr>
              <w:pStyle w:val="164"/>
              <w:spacing w:before="40" w:after="40" w:line="240" w:lineRule="auto"/>
              <w:ind w:firstLine="0"/>
              <w:jc w:val="left"/>
            </w:pPr>
            <w:r>
              <w:rPr>
                <w:rFonts w:ascii="Arial" w:hAnsi="Arial" w:eastAsia="宋体"/>
                <w:b w:val="0"/>
                <w:sz w:val="21"/>
              </w:rPr>
              <w:t>GBZ 2.1-2019</w:t>
            </w:r>
          </w:p>
        </w:tc>
        <w:tc>
          <w:tcPr>
            <w:tcW w:w="3515" w:type="dxa"/>
            <w:vAlign w:val="center"/>
          </w:tcPr>
          <w:p w14:paraId="06A199D7">
            <w:pPr>
              <w:pStyle w:val="164"/>
              <w:spacing w:before="40" w:after="40" w:line="240" w:lineRule="auto"/>
              <w:ind w:firstLine="0"/>
              <w:jc w:val="left"/>
            </w:pPr>
            <w:r>
              <w:rPr>
                <w:rFonts w:ascii="Arial" w:hAnsi="Arial" w:eastAsia="宋体"/>
                <w:b w:val="0"/>
                <w:sz w:val="21"/>
              </w:rPr>
              <w:t>工作场所有害因素职业接触限值 第1部分：化学有害因素</w:t>
            </w:r>
          </w:p>
        </w:tc>
        <w:tc>
          <w:tcPr>
            <w:tcW w:w="2268" w:type="dxa"/>
            <w:vAlign w:val="center"/>
          </w:tcPr>
          <w:p w14:paraId="6272B48E">
            <w:pPr>
              <w:pStyle w:val="164"/>
              <w:spacing w:before="40" w:after="40" w:line="240" w:lineRule="auto"/>
              <w:ind w:firstLine="0"/>
              <w:jc w:val="left"/>
            </w:pPr>
            <w:r>
              <w:rPr>
                <w:rFonts w:ascii="Arial" w:hAnsi="Arial" w:eastAsia="宋体"/>
                <w:b w:val="0"/>
                <w:sz w:val="21"/>
              </w:rPr>
              <w:t>岗位粉尘职业接触限值判定</w:t>
            </w:r>
          </w:p>
        </w:tc>
      </w:tr>
      <w:tr w14:paraId="735136E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0F46711F">
            <w:pPr>
              <w:pStyle w:val="164"/>
              <w:spacing w:before="40" w:after="40" w:line="240" w:lineRule="auto"/>
              <w:ind w:firstLine="0"/>
              <w:jc w:val="center"/>
            </w:pPr>
            <w:r>
              <w:rPr>
                <w:rFonts w:ascii="Arial" w:hAnsi="Arial" w:eastAsia="宋体"/>
                <w:b w:val="0"/>
                <w:sz w:val="21"/>
              </w:rPr>
              <w:t>4</w:t>
            </w:r>
          </w:p>
        </w:tc>
        <w:tc>
          <w:tcPr>
            <w:tcW w:w="2608" w:type="dxa"/>
            <w:vAlign w:val="center"/>
          </w:tcPr>
          <w:p w14:paraId="61BBD635">
            <w:pPr>
              <w:pStyle w:val="164"/>
              <w:spacing w:before="40" w:after="40" w:line="240" w:lineRule="auto"/>
              <w:ind w:firstLine="0"/>
              <w:jc w:val="left"/>
            </w:pPr>
            <w:r>
              <w:rPr>
                <w:rFonts w:ascii="Arial" w:hAnsi="Arial" w:eastAsia="宋体"/>
                <w:b w:val="0"/>
                <w:sz w:val="21"/>
              </w:rPr>
              <w:t>GB 50019-2015</w:t>
            </w:r>
          </w:p>
        </w:tc>
        <w:tc>
          <w:tcPr>
            <w:tcW w:w="3515" w:type="dxa"/>
            <w:vAlign w:val="center"/>
          </w:tcPr>
          <w:p w14:paraId="0EC9B3C7">
            <w:pPr>
              <w:pStyle w:val="164"/>
              <w:spacing w:before="40" w:after="40" w:line="240" w:lineRule="auto"/>
              <w:ind w:firstLine="0"/>
              <w:jc w:val="left"/>
            </w:pPr>
            <w:r>
              <w:rPr>
                <w:rFonts w:ascii="Arial" w:hAnsi="Arial" w:eastAsia="宋体"/>
                <w:b w:val="0"/>
                <w:sz w:val="21"/>
              </w:rPr>
              <w:t>工业建筑供暖通风与空气调节设计规范</w:t>
            </w:r>
          </w:p>
        </w:tc>
        <w:tc>
          <w:tcPr>
            <w:tcW w:w="2268" w:type="dxa"/>
            <w:vAlign w:val="center"/>
          </w:tcPr>
          <w:p w14:paraId="5CF40386">
            <w:pPr>
              <w:pStyle w:val="164"/>
              <w:spacing w:before="40" w:after="40" w:line="240" w:lineRule="auto"/>
              <w:ind w:firstLine="0"/>
              <w:jc w:val="left"/>
            </w:pPr>
            <w:r>
              <w:rPr>
                <w:rFonts w:ascii="Arial" w:hAnsi="Arial" w:eastAsia="宋体"/>
                <w:b w:val="0"/>
                <w:sz w:val="21"/>
              </w:rPr>
              <w:t>通风除尘风系统设计</w:t>
            </w:r>
          </w:p>
        </w:tc>
      </w:tr>
      <w:tr w14:paraId="4FF490E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797A12E">
            <w:pPr>
              <w:pStyle w:val="164"/>
              <w:spacing w:before="40" w:after="40" w:line="240" w:lineRule="auto"/>
              <w:ind w:firstLine="0"/>
              <w:jc w:val="center"/>
            </w:pPr>
            <w:r>
              <w:rPr>
                <w:rFonts w:ascii="Arial" w:hAnsi="Arial" w:eastAsia="宋体"/>
                <w:b w:val="0"/>
                <w:sz w:val="21"/>
              </w:rPr>
              <w:t>5</w:t>
            </w:r>
          </w:p>
        </w:tc>
        <w:tc>
          <w:tcPr>
            <w:tcW w:w="2608" w:type="dxa"/>
            <w:vAlign w:val="center"/>
          </w:tcPr>
          <w:p w14:paraId="148AEDB2">
            <w:pPr>
              <w:pStyle w:val="164"/>
              <w:spacing w:before="40" w:after="40" w:line="240" w:lineRule="auto"/>
              <w:ind w:firstLine="0"/>
              <w:jc w:val="left"/>
            </w:pPr>
            <w:r>
              <w:rPr>
                <w:rFonts w:ascii="Arial" w:hAnsi="Arial" w:eastAsia="宋体"/>
                <w:b w:val="0"/>
                <w:sz w:val="21"/>
              </w:rPr>
              <w:t>GB 15577-2018</w:t>
            </w:r>
          </w:p>
        </w:tc>
        <w:tc>
          <w:tcPr>
            <w:tcW w:w="3515" w:type="dxa"/>
            <w:vAlign w:val="center"/>
          </w:tcPr>
          <w:p w14:paraId="099C4D6C">
            <w:pPr>
              <w:pStyle w:val="164"/>
              <w:spacing w:before="40" w:after="40" w:line="240" w:lineRule="auto"/>
              <w:ind w:firstLine="0"/>
              <w:jc w:val="left"/>
            </w:pPr>
            <w:r>
              <w:rPr>
                <w:rFonts w:ascii="Arial" w:hAnsi="Arial" w:eastAsia="宋体"/>
                <w:b w:val="0"/>
                <w:sz w:val="21"/>
              </w:rPr>
              <w:t>粉尘防爆安全规程</w:t>
            </w:r>
          </w:p>
        </w:tc>
        <w:tc>
          <w:tcPr>
            <w:tcW w:w="2268" w:type="dxa"/>
            <w:vAlign w:val="center"/>
          </w:tcPr>
          <w:p w14:paraId="1AC7AD68">
            <w:pPr>
              <w:pStyle w:val="164"/>
              <w:spacing w:before="40" w:after="40" w:line="240" w:lineRule="auto"/>
              <w:ind w:firstLine="0"/>
              <w:jc w:val="left"/>
            </w:pPr>
            <w:r>
              <w:rPr>
                <w:rFonts w:ascii="Arial" w:hAnsi="Arial" w:eastAsia="宋体"/>
                <w:b w:val="0"/>
                <w:sz w:val="21"/>
              </w:rPr>
              <w:t>可燃性粉尘防爆设计</w:t>
            </w:r>
          </w:p>
        </w:tc>
      </w:tr>
      <w:tr w14:paraId="334098A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0CAE657">
            <w:pPr>
              <w:pStyle w:val="164"/>
              <w:spacing w:before="40" w:after="40" w:line="240" w:lineRule="auto"/>
              <w:ind w:firstLine="0"/>
              <w:jc w:val="center"/>
            </w:pPr>
            <w:r>
              <w:rPr>
                <w:rFonts w:ascii="Arial" w:hAnsi="Arial" w:eastAsia="宋体"/>
                <w:b w:val="0"/>
                <w:sz w:val="21"/>
              </w:rPr>
              <w:t>6</w:t>
            </w:r>
          </w:p>
        </w:tc>
        <w:tc>
          <w:tcPr>
            <w:tcW w:w="2608" w:type="dxa"/>
            <w:vAlign w:val="center"/>
          </w:tcPr>
          <w:p w14:paraId="51E1DC1C">
            <w:pPr>
              <w:pStyle w:val="164"/>
              <w:spacing w:before="40" w:after="40" w:line="240" w:lineRule="auto"/>
              <w:ind w:firstLine="0"/>
              <w:jc w:val="left"/>
            </w:pPr>
            <w:r>
              <w:rPr>
                <w:rFonts w:ascii="Arial" w:hAnsi="Arial" w:eastAsia="宋体"/>
                <w:b w:val="0"/>
                <w:sz w:val="21"/>
              </w:rPr>
              <w:t>GB 50058-2014</w:t>
            </w:r>
          </w:p>
        </w:tc>
        <w:tc>
          <w:tcPr>
            <w:tcW w:w="3515" w:type="dxa"/>
            <w:vAlign w:val="center"/>
          </w:tcPr>
          <w:p w14:paraId="59307990">
            <w:pPr>
              <w:pStyle w:val="164"/>
              <w:spacing w:before="40" w:after="40" w:line="240" w:lineRule="auto"/>
              <w:ind w:firstLine="0"/>
              <w:jc w:val="left"/>
            </w:pPr>
            <w:r>
              <w:rPr>
                <w:rFonts w:ascii="Arial" w:hAnsi="Arial" w:eastAsia="宋体"/>
                <w:b w:val="0"/>
                <w:sz w:val="21"/>
              </w:rPr>
              <w:t>爆炸危险环境电力装置设计规范</w:t>
            </w:r>
          </w:p>
        </w:tc>
        <w:tc>
          <w:tcPr>
            <w:tcW w:w="2268" w:type="dxa"/>
            <w:vAlign w:val="center"/>
          </w:tcPr>
          <w:p w14:paraId="7297C718">
            <w:pPr>
              <w:pStyle w:val="164"/>
              <w:spacing w:before="40" w:after="40" w:line="240" w:lineRule="auto"/>
              <w:ind w:firstLine="0"/>
              <w:jc w:val="left"/>
            </w:pPr>
            <w:r>
              <w:rPr>
                <w:rFonts w:ascii="Arial" w:hAnsi="Arial" w:eastAsia="宋体"/>
                <w:b w:val="0"/>
                <w:sz w:val="21"/>
              </w:rPr>
              <w:t>爆炸危险区域电气设备选型</w:t>
            </w:r>
          </w:p>
        </w:tc>
      </w:tr>
      <w:tr w14:paraId="1B3B710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7FBA3F99">
            <w:pPr>
              <w:pStyle w:val="164"/>
              <w:spacing w:before="40" w:after="40" w:line="240" w:lineRule="auto"/>
              <w:ind w:firstLine="0"/>
              <w:jc w:val="center"/>
            </w:pPr>
            <w:r>
              <w:rPr>
                <w:rFonts w:ascii="Arial" w:hAnsi="Arial" w:eastAsia="宋体"/>
                <w:b w:val="0"/>
                <w:sz w:val="21"/>
              </w:rPr>
              <w:t>7</w:t>
            </w:r>
          </w:p>
        </w:tc>
        <w:tc>
          <w:tcPr>
            <w:tcW w:w="2608" w:type="dxa"/>
            <w:vAlign w:val="center"/>
          </w:tcPr>
          <w:p w14:paraId="17CEBAF5">
            <w:pPr>
              <w:pStyle w:val="164"/>
              <w:spacing w:before="40" w:after="40" w:line="240" w:lineRule="auto"/>
              <w:ind w:firstLine="0"/>
              <w:jc w:val="left"/>
            </w:pPr>
            <w:r>
              <w:rPr>
                <w:rFonts w:ascii="Arial" w:hAnsi="Arial" w:eastAsia="宋体"/>
                <w:b w:val="0"/>
                <w:sz w:val="21"/>
              </w:rPr>
              <w:t>GB 50016-2014（2018年版）</w:t>
            </w:r>
          </w:p>
        </w:tc>
        <w:tc>
          <w:tcPr>
            <w:tcW w:w="3515" w:type="dxa"/>
            <w:vAlign w:val="center"/>
          </w:tcPr>
          <w:p w14:paraId="5F8912B9">
            <w:pPr>
              <w:pStyle w:val="164"/>
              <w:spacing w:before="40" w:after="40" w:line="240" w:lineRule="auto"/>
              <w:ind w:firstLine="0"/>
              <w:jc w:val="left"/>
            </w:pPr>
            <w:r>
              <w:rPr>
                <w:rFonts w:ascii="Arial" w:hAnsi="Arial" w:eastAsia="宋体"/>
                <w:b w:val="0"/>
                <w:sz w:val="21"/>
              </w:rPr>
              <w:t>建筑设计防火规范</w:t>
            </w:r>
          </w:p>
        </w:tc>
        <w:tc>
          <w:tcPr>
            <w:tcW w:w="2268" w:type="dxa"/>
            <w:vAlign w:val="center"/>
          </w:tcPr>
          <w:p w14:paraId="3625696C">
            <w:pPr>
              <w:pStyle w:val="164"/>
              <w:spacing w:before="40" w:after="40" w:line="240" w:lineRule="auto"/>
              <w:ind w:firstLine="0"/>
              <w:jc w:val="left"/>
            </w:pPr>
            <w:r>
              <w:rPr>
                <w:rFonts w:ascii="Arial" w:hAnsi="Arial" w:eastAsia="宋体"/>
                <w:b w:val="0"/>
                <w:sz w:val="21"/>
              </w:rPr>
              <w:t>防火防爆与建筑安全</w:t>
            </w:r>
          </w:p>
        </w:tc>
      </w:tr>
      <w:tr w14:paraId="2598302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E531FAA">
            <w:pPr>
              <w:pStyle w:val="164"/>
              <w:spacing w:before="40" w:after="40" w:line="240" w:lineRule="auto"/>
              <w:ind w:firstLine="0"/>
              <w:jc w:val="center"/>
            </w:pPr>
            <w:r>
              <w:rPr>
                <w:rFonts w:ascii="Arial" w:hAnsi="Arial" w:eastAsia="宋体"/>
                <w:b w:val="0"/>
                <w:sz w:val="21"/>
              </w:rPr>
              <w:t>8</w:t>
            </w:r>
          </w:p>
        </w:tc>
        <w:tc>
          <w:tcPr>
            <w:tcW w:w="2608" w:type="dxa"/>
            <w:vAlign w:val="center"/>
          </w:tcPr>
          <w:p w14:paraId="74EF1E5F">
            <w:pPr>
              <w:pStyle w:val="164"/>
              <w:spacing w:before="40" w:after="40" w:line="240" w:lineRule="auto"/>
              <w:ind w:firstLine="0"/>
              <w:jc w:val="left"/>
            </w:pPr>
            <w:r>
              <w:rPr>
                <w:rFonts w:ascii="Arial" w:hAnsi="Arial" w:eastAsia="宋体"/>
                <w:b w:val="0"/>
                <w:sz w:val="21"/>
              </w:rPr>
              <w:t>GB/T 6719-2009</w:t>
            </w:r>
          </w:p>
        </w:tc>
        <w:tc>
          <w:tcPr>
            <w:tcW w:w="3515" w:type="dxa"/>
            <w:vAlign w:val="center"/>
          </w:tcPr>
          <w:p w14:paraId="0A595942">
            <w:pPr>
              <w:pStyle w:val="164"/>
              <w:spacing w:before="40" w:after="40" w:line="240" w:lineRule="auto"/>
              <w:ind w:firstLine="0"/>
              <w:jc w:val="left"/>
            </w:pPr>
            <w:r>
              <w:rPr>
                <w:rFonts w:ascii="Arial" w:hAnsi="Arial" w:eastAsia="宋体"/>
                <w:b w:val="0"/>
                <w:sz w:val="21"/>
              </w:rPr>
              <w:t>袋式除尘器技术要求</w:t>
            </w:r>
          </w:p>
        </w:tc>
        <w:tc>
          <w:tcPr>
            <w:tcW w:w="2268" w:type="dxa"/>
            <w:vAlign w:val="center"/>
          </w:tcPr>
          <w:p w14:paraId="39F2FF2A">
            <w:pPr>
              <w:pStyle w:val="164"/>
              <w:spacing w:before="40" w:after="40" w:line="240" w:lineRule="auto"/>
              <w:ind w:firstLine="0"/>
              <w:jc w:val="left"/>
            </w:pPr>
            <w:r>
              <w:rPr>
                <w:rFonts w:ascii="Arial" w:hAnsi="Arial" w:eastAsia="宋体"/>
                <w:b w:val="0"/>
                <w:sz w:val="21"/>
              </w:rPr>
              <w:t>袋式除尘器性能与制造验收</w:t>
            </w:r>
          </w:p>
        </w:tc>
      </w:tr>
      <w:tr w14:paraId="6A4B3C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3BC0D3FF">
            <w:pPr>
              <w:pStyle w:val="164"/>
              <w:spacing w:before="40" w:after="40" w:line="240" w:lineRule="auto"/>
              <w:ind w:firstLine="0"/>
              <w:jc w:val="center"/>
            </w:pPr>
            <w:r>
              <w:rPr>
                <w:rFonts w:ascii="Arial" w:hAnsi="Arial" w:eastAsia="宋体"/>
                <w:b w:val="0"/>
                <w:sz w:val="21"/>
              </w:rPr>
              <w:t>9</w:t>
            </w:r>
          </w:p>
        </w:tc>
        <w:tc>
          <w:tcPr>
            <w:tcW w:w="2608" w:type="dxa"/>
            <w:vAlign w:val="center"/>
          </w:tcPr>
          <w:p w14:paraId="2A1034A0">
            <w:pPr>
              <w:pStyle w:val="164"/>
              <w:spacing w:before="40" w:after="40" w:line="240" w:lineRule="auto"/>
              <w:ind w:firstLine="0"/>
              <w:jc w:val="left"/>
            </w:pPr>
            <w:r>
              <w:rPr>
                <w:rFonts w:ascii="Arial" w:hAnsi="Arial" w:eastAsia="宋体"/>
                <w:b w:val="0"/>
                <w:sz w:val="21"/>
              </w:rPr>
              <w:t>HJ 2020-2012</w:t>
            </w:r>
          </w:p>
        </w:tc>
        <w:tc>
          <w:tcPr>
            <w:tcW w:w="3515" w:type="dxa"/>
            <w:vAlign w:val="center"/>
          </w:tcPr>
          <w:p w14:paraId="2C5621AE">
            <w:pPr>
              <w:pStyle w:val="164"/>
              <w:spacing w:before="40" w:after="40" w:line="240" w:lineRule="auto"/>
              <w:ind w:firstLine="0"/>
              <w:jc w:val="left"/>
            </w:pPr>
            <w:r>
              <w:rPr>
                <w:rFonts w:ascii="Arial" w:hAnsi="Arial" w:eastAsia="宋体"/>
                <w:b w:val="0"/>
                <w:sz w:val="21"/>
              </w:rPr>
              <w:t>袋式除尘工程通用技术规范</w:t>
            </w:r>
          </w:p>
        </w:tc>
        <w:tc>
          <w:tcPr>
            <w:tcW w:w="2268" w:type="dxa"/>
            <w:vAlign w:val="center"/>
          </w:tcPr>
          <w:p w14:paraId="790657B9">
            <w:pPr>
              <w:pStyle w:val="164"/>
              <w:spacing w:before="40" w:after="40" w:line="240" w:lineRule="auto"/>
              <w:ind w:firstLine="0"/>
              <w:jc w:val="left"/>
            </w:pPr>
            <w:r>
              <w:rPr>
                <w:rFonts w:ascii="Arial" w:hAnsi="Arial" w:eastAsia="宋体"/>
                <w:b w:val="0"/>
                <w:sz w:val="21"/>
              </w:rPr>
              <w:t>除尘工程设计、施工与运行管理</w:t>
            </w:r>
          </w:p>
        </w:tc>
      </w:tr>
      <w:tr w14:paraId="221883A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26FCEE2">
            <w:pPr>
              <w:pStyle w:val="164"/>
              <w:spacing w:before="40" w:after="40" w:line="240" w:lineRule="auto"/>
              <w:ind w:firstLine="0"/>
              <w:jc w:val="center"/>
            </w:pPr>
            <w:r>
              <w:rPr>
                <w:rFonts w:ascii="Arial" w:hAnsi="Arial" w:eastAsia="宋体"/>
                <w:b w:val="0"/>
                <w:sz w:val="21"/>
              </w:rPr>
              <w:t>10</w:t>
            </w:r>
          </w:p>
        </w:tc>
        <w:tc>
          <w:tcPr>
            <w:tcW w:w="2608" w:type="dxa"/>
            <w:vAlign w:val="center"/>
          </w:tcPr>
          <w:p w14:paraId="6C0C4404">
            <w:pPr>
              <w:pStyle w:val="164"/>
              <w:spacing w:before="40" w:after="40" w:line="240" w:lineRule="auto"/>
              <w:ind w:firstLine="0"/>
              <w:jc w:val="left"/>
            </w:pPr>
            <w:r>
              <w:rPr>
                <w:rFonts w:ascii="Arial" w:hAnsi="Arial" w:eastAsia="宋体"/>
                <w:b w:val="0"/>
                <w:sz w:val="21"/>
              </w:rPr>
              <w:t>GB/T 16157-1996</w:t>
            </w:r>
          </w:p>
        </w:tc>
        <w:tc>
          <w:tcPr>
            <w:tcW w:w="3515" w:type="dxa"/>
            <w:vAlign w:val="center"/>
          </w:tcPr>
          <w:p w14:paraId="33811FD4">
            <w:pPr>
              <w:pStyle w:val="164"/>
              <w:spacing w:before="40" w:after="40" w:line="240" w:lineRule="auto"/>
              <w:ind w:firstLine="0"/>
              <w:jc w:val="left"/>
            </w:pPr>
            <w:r>
              <w:rPr>
                <w:rFonts w:ascii="Arial" w:hAnsi="Arial" w:eastAsia="宋体"/>
                <w:b w:val="0"/>
                <w:sz w:val="21"/>
              </w:rPr>
              <w:t>固定污染源排气中颗粒物测定与气态污染物采样方法</w:t>
            </w:r>
          </w:p>
        </w:tc>
        <w:tc>
          <w:tcPr>
            <w:tcW w:w="2268" w:type="dxa"/>
            <w:vAlign w:val="center"/>
          </w:tcPr>
          <w:p w14:paraId="1DFCFB66">
            <w:pPr>
              <w:pStyle w:val="164"/>
              <w:spacing w:before="40" w:after="40" w:line="240" w:lineRule="auto"/>
              <w:ind w:firstLine="0"/>
              <w:jc w:val="left"/>
            </w:pPr>
            <w:r>
              <w:rPr>
                <w:rFonts w:ascii="Arial" w:hAnsi="Arial" w:eastAsia="宋体"/>
                <w:b w:val="0"/>
                <w:sz w:val="21"/>
              </w:rPr>
              <w:t>排放浓度检测采样</w:t>
            </w:r>
          </w:p>
        </w:tc>
      </w:tr>
      <w:tr w14:paraId="7B35B6C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24AD4B03">
            <w:pPr>
              <w:pStyle w:val="164"/>
              <w:spacing w:before="40" w:after="40" w:line="240" w:lineRule="auto"/>
              <w:ind w:firstLine="0"/>
              <w:jc w:val="center"/>
            </w:pPr>
            <w:r>
              <w:rPr>
                <w:rFonts w:ascii="Arial" w:hAnsi="Arial" w:eastAsia="宋体"/>
                <w:b w:val="0"/>
                <w:sz w:val="21"/>
              </w:rPr>
              <w:t>11</w:t>
            </w:r>
          </w:p>
        </w:tc>
        <w:tc>
          <w:tcPr>
            <w:tcW w:w="2608" w:type="dxa"/>
            <w:vAlign w:val="center"/>
          </w:tcPr>
          <w:p w14:paraId="55FDF145">
            <w:pPr>
              <w:pStyle w:val="164"/>
              <w:spacing w:before="40" w:after="40" w:line="240" w:lineRule="auto"/>
              <w:ind w:firstLine="0"/>
              <w:jc w:val="left"/>
            </w:pPr>
            <w:r>
              <w:rPr>
                <w:rFonts w:ascii="Arial" w:hAnsi="Arial" w:eastAsia="宋体"/>
                <w:b w:val="0"/>
                <w:sz w:val="21"/>
              </w:rPr>
              <w:t>GB 3095-2012</w:t>
            </w:r>
          </w:p>
        </w:tc>
        <w:tc>
          <w:tcPr>
            <w:tcW w:w="3515" w:type="dxa"/>
            <w:vAlign w:val="center"/>
          </w:tcPr>
          <w:p w14:paraId="459A348A">
            <w:pPr>
              <w:pStyle w:val="164"/>
              <w:spacing w:before="40" w:after="40" w:line="240" w:lineRule="auto"/>
              <w:ind w:firstLine="0"/>
              <w:jc w:val="left"/>
            </w:pPr>
            <w:r>
              <w:rPr>
                <w:rFonts w:ascii="Arial" w:hAnsi="Arial" w:eastAsia="宋体"/>
                <w:b w:val="0"/>
                <w:sz w:val="21"/>
              </w:rPr>
              <w:t>环境空气质量标准</w:t>
            </w:r>
          </w:p>
        </w:tc>
        <w:tc>
          <w:tcPr>
            <w:tcW w:w="2268" w:type="dxa"/>
            <w:vAlign w:val="center"/>
          </w:tcPr>
          <w:p w14:paraId="2E998DEB">
            <w:pPr>
              <w:pStyle w:val="164"/>
              <w:spacing w:before="40" w:after="40" w:line="240" w:lineRule="auto"/>
              <w:ind w:firstLine="0"/>
              <w:jc w:val="left"/>
            </w:pPr>
            <w:r>
              <w:rPr>
                <w:rFonts w:ascii="Arial" w:hAnsi="Arial" w:eastAsia="宋体"/>
                <w:b w:val="0"/>
                <w:sz w:val="21"/>
              </w:rPr>
              <w:t>厂区环境空气质量评价</w:t>
            </w:r>
          </w:p>
        </w:tc>
      </w:tr>
    </w:tbl>
    <w:p w14:paraId="2CC42DEF">
      <w:r>
        <w:rPr>
          <w:rFonts w:ascii="Arial" w:hAnsi="Arial" w:eastAsia="宋体"/>
          <w:b w:val="0"/>
          <w:sz w:val="24"/>
        </w:rPr>
        <w:t>说明：原方案引用的部分旧版标准（GBZ 1-2002、GB 19-87、TJ 36-79、GBZ 2-2002）已被现行版本替代或废止，本方案已统一更新为现行标准，避免报审时因标准失效被驳回。</w:t>
      </w:r>
    </w:p>
    <w:p w14:paraId="333A57A7">
      <w:pPr>
        <w:pStyle w:val="4"/>
      </w:pPr>
      <w:r>
        <w:rPr>
          <w:rFonts w:ascii="Arial" w:hAnsi="Arial" w:eastAsia="黑体"/>
          <w:b/>
          <w:color w:val="000000"/>
          <w:sz w:val="28"/>
        </w:rPr>
        <w:t>2.3 主要技术指标：全系统性能达标基线</w:t>
      </w:r>
    </w:p>
    <w:p w14:paraId="380FA757">
      <w:pPr>
        <w:pStyle w:val="15"/>
      </w:pPr>
      <w:r>
        <w:rPr>
          <w:rFonts w:ascii="Arial" w:hAnsi="Arial" w:eastAsia="宋体"/>
          <w:b w:val="0"/>
          <w:color w:val="000000"/>
          <w:sz w:val="21"/>
        </w:rPr>
        <w:t>表2 本工程主要技术指标</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814"/>
        <w:gridCol w:w="1814"/>
        <w:gridCol w:w="1814"/>
        <w:gridCol w:w="1814"/>
        <w:gridCol w:w="1814"/>
      </w:tblGrid>
      <w:tr w14:paraId="6797E0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80" w:type="dxa"/>
            <w:shd w:val="clear" w:color="auto" w:fill="D9D9D9"/>
            <w:vAlign w:val="center"/>
          </w:tcPr>
          <w:p w14:paraId="44032F69">
            <w:pPr>
              <w:pStyle w:val="164"/>
              <w:spacing w:before="40" w:after="40" w:line="240" w:lineRule="auto"/>
              <w:ind w:firstLine="0"/>
              <w:jc w:val="center"/>
            </w:pPr>
            <w:r>
              <w:rPr>
                <w:rFonts w:ascii="Arial" w:hAnsi="Arial" w:eastAsia="宋体"/>
                <w:b/>
                <w:sz w:val="21"/>
              </w:rPr>
              <w:t>序号</w:t>
            </w:r>
          </w:p>
        </w:tc>
        <w:tc>
          <w:tcPr>
            <w:tcW w:w="2948" w:type="dxa"/>
            <w:shd w:val="clear" w:color="auto" w:fill="D9D9D9"/>
            <w:vAlign w:val="center"/>
          </w:tcPr>
          <w:p w14:paraId="57E169DE">
            <w:pPr>
              <w:pStyle w:val="164"/>
              <w:spacing w:before="40" w:after="40" w:line="240" w:lineRule="auto"/>
              <w:ind w:firstLine="0"/>
              <w:jc w:val="center"/>
            </w:pPr>
            <w:r>
              <w:rPr>
                <w:rFonts w:ascii="Arial" w:hAnsi="Arial" w:eastAsia="宋体"/>
                <w:b/>
                <w:sz w:val="21"/>
              </w:rPr>
              <w:t>指标项目</w:t>
            </w:r>
          </w:p>
        </w:tc>
        <w:tc>
          <w:tcPr>
            <w:tcW w:w="1247" w:type="dxa"/>
            <w:shd w:val="clear" w:color="auto" w:fill="D9D9D9"/>
            <w:vAlign w:val="center"/>
          </w:tcPr>
          <w:p w14:paraId="3AFBB679">
            <w:pPr>
              <w:pStyle w:val="164"/>
              <w:spacing w:before="40" w:after="40" w:line="240" w:lineRule="auto"/>
              <w:ind w:firstLine="0"/>
              <w:jc w:val="center"/>
            </w:pPr>
            <w:r>
              <w:rPr>
                <w:rFonts w:ascii="Arial" w:hAnsi="Arial" w:eastAsia="宋体"/>
                <w:b/>
                <w:sz w:val="21"/>
              </w:rPr>
              <w:t>单位</w:t>
            </w:r>
          </w:p>
        </w:tc>
        <w:tc>
          <w:tcPr>
            <w:tcW w:w="2381" w:type="dxa"/>
            <w:shd w:val="clear" w:color="auto" w:fill="D9D9D9"/>
            <w:vAlign w:val="center"/>
          </w:tcPr>
          <w:p w14:paraId="359B7317">
            <w:pPr>
              <w:pStyle w:val="164"/>
              <w:spacing w:before="40" w:after="40" w:line="240" w:lineRule="auto"/>
              <w:ind w:firstLine="0"/>
              <w:jc w:val="center"/>
            </w:pPr>
            <w:r>
              <w:rPr>
                <w:rFonts w:ascii="Arial" w:hAnsi="Arial" w:eastAsia="宋体"/>
                <w:b/>
                <w:sz w:val="21"/>
              </w:rPr>
              <w:t>指标值</w:t>
            </w:r>
          </w:p>
        </w:tc>
        <w:tc>
          <w:tcPr>
            <w:tcW w:w="1814" w:type="dxa"/>
            <w:shd w:val="clear" w:color="auto" w:fill="D9D9D9"/>
            <w:vAlign w:val="center"/>
          </w:tcPr>
          <w:p w14:paraId="239145D6">
            <w:pPr>
              <w:pStyle w:val="164"/>
              <w:spacing w:before="40" w:after="40" w:line="240" w:lineRule="auto"/>
              <w:ind w:firstLine="0"/>
              <w:jc w:val="center"/>
            </w:pPr>
            <w:r>
              <w:rPr>
                <w:rFonts w:ascii="Arial" w:hAnsi="Arial" w:eastAsia="宋体"/>
                <w:b/>
                <w:sz w:val="21"/>
              </w:rPr>
              <w:t>备注</w:t>
            </w:r>
          </w:p>
        </w:tc>
      </w:tr>
      <w:tr w14:paraId="33F239C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3BB7A1CC">
            <w:pPr>
              <w:pStyle w:val="164"/>
              <w:spacing w:before="40" w:after="40" w:line="240" w:lineRule="auto"/>
              <w:ind w:firstLine="0"/>
              <w:jc w:val="center"/>
            </w:pPr>
            <w:r>
              <w:rPr>
                <w:rFonts w:ascii="Arial" w:hAnsi="Arial" w:eastAsia="宋体"/>
                <w:b w:val="0"/>
                <w:sz w:val="21"/>
              </w:rPr>
              <w:t>1</w:t>
            </w:r>
          </w:p>
        </w:tc>
        <w:tc>
          <w:tcPr>
            <w:tcW w:w="2948" w:type="dxa"/>
            <w:vAlign w:val="center"/>
          </w:tcPr>
          <w:p w14:paraId="15E6B133">
            <w:pPr>
              <w:pStyle w:val="164"/>
              <w:spacing w:before="40" w:after="40" w:line="240" w:lineRule="auto"/>
              <w:ind w:firstLine="0"/>
              <w:jc w:val="left"/>
            </w:pPr>
            <w:r>
              <w:rPr>
                <w:rFonts w:ascii="Arial" w:hAnsi="Arial" w:eastAsia="宋体"/>
                <w:b w:val="0"/>
                <w:sz w:val="21"/>
              </w:rPr>
              <w:t>除尘器出口颗粒物浓度</w:t>
            </w:r>
          </w:p>
        </w:tc>
        <w:tc>
          <w:tcPr>
            <w:tcW w:w="1247" w:type="dxa"/>
            <w:vAlign w:val="center"/>
          </w:tcPr>
          <w:p w14:paraId="6D7C54D9">
            <w:pPr>
              <w:pStyle w:val="164"/>
              <w:spacing w:before="40" w:after="40" w:line="240" w:lineRule="auto"/>
              <w:ind w:firstLine="0"/>
              <w:jc w:val="center"/>
            </w:pPr>
            <w:r>
              <w:rPr>
                <w:rFonts w:ascii="Arial" w:hAnsi="Arial" w:eastAsia="宋体"/>
                <w:b w:val="0"/>
                <w:sz w:val="21"/>
              </w:rPr>
              <w:t>mg/Nm³</w:t>
            </w:r>
          </w:p>
        </w:tc>
        <w:tc>
          <w:tcPr>
            <w:tcW w:w="2381" w:type="dxa"/>
            <w:vAlign w:val="center"/>
          </w:tcPr>
          <w:p w14:paraId="1D7C51C7">
            <w:pPr>
              <w:pStyle w:val="164"/>
              <w:spacing w:before="40" w:after="40" w:line="240" w:lineRule="auto"/>
              <w:ind w:firstLine="0"/>
              <w:jc w:val="left"/>
            </w:pPr>
            <w:r>
              <w:rPr>
                <w:rFonts w:ascii="Arial" w:hAnsi="Arial" w:eastAsia="宋体"/>
                <w:b w:val="0"/>
                <w:sz w:val="21"/>
              </w:rPr>
              <w:t>≤20</w:t>
            </w:r>
          </w:p>
        </w:tc>
        <w:tc>
          <w:tcPr>
            <w:tcW w:w="1814" w:type="dxa"/>
            <w:vAlign w:val="center"/>
          </w:tcPr>
          <w:p w14:paraId="55E93BBE">
            <w:pPr>
              <w:pStyle w:val="164"/>
              <w:spacing w:before="40" w:after="40" w:line="240" w:lineRule="auto"/>
              <w:ind w:firstLine="0"/>
              <w:jc w:val="left"/>
            </w:pPr>
            <w:r>
              <w:rPr>
                <w:rFonts w:ascii="Arial" w:hAnsi="Arial" w:eastAsia="宋体"/>
                <w:b w:val="0"/>
                <w:sz w:val="21"/>
              </w:rPr>
              <w:t>严于GB 16297-1996限值</w:t>
            </w:r>
          </w:p>
        </w:tc>
      </w:tr>
      <w:tr w14:paraId="615D2C2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2D7A6DAF">
            <w:pPr>
              <w:pStyle w:val="164"/>
              <w:spacing w:before="40" w:after="40" w:line="240" w:lineRule="auto"/>
              <w:ind w:firstLine="0"/>
              <w:jc w:val="center"/>
            </w:pPr>
            <w:r>
              <w:rPr>
                <w:rFonts w:ascii="Arial" w:hAnsi="Arial" w:eastAsia="宋体"/>
                <w:b w:val="0"/>
                <w:sz w:val="21"/>
              </w:rPr>
              <w:t>2</w:t>
            </w:r>
          </w:p>
        </w:tc>
        <w:tc>
          <w:tcPr>
            <w:tcW w:w="2948" w:type="dxa"/>
            <w:vAlign w:val="center"/>
          </w:tcPr>
          <w:p w14:paraId="4E1C3DBA">
            <w:pPr>
              <w:pStyle w:val="164"/>
              <w:spacing w:before="40" w:after="40" w:line="240" w:lineRule="auto"/>
              <w:ind w:firstLine="0"/>
              <w:jc w:val="left"/>
            </w:pPr>
            <w:r>
              <w:rPr>
                <w:rFonts w:ascii="Arial" w:hAnsi="Arial" w:eastAsia="宋体"/>
                <w:b w:val="0"/>
                <w:sz w:val="21"/>
              </w:rPr>
              <w:t>车间环境粉尘浓度</w:t>
            </w:r>
          </w:p>
        </w:tc>
        <w:tc>
          <w:tcPr>
            <w:tcW w:w="1247" w:type="dxa"/>
            <w:vAlign w:val="center"/>
          </w:tcPr>
          <w:p w14:paraId="7A1E5A1E">
            <w:pPr>
              <w:pStyle w:val="164"/>
              <w:spacing w:before="40" w:after="40" w:line="240" w:lineRule="auto"/>
              <w:ind w:firstLine="0"/>
              <w:jc w:val="center"/>
            </w:pPr>
            <w:r>
              <w:rPr>
                <w:rFonts w:ascii="Arial" w:hAnsi="Arial" w:eastAsia="宋体"/>
                <w:b w:val="0"/>
                <w:sz w:val="21"/>
              </w:rPr>
              <w:t>mg/m³</w:t>
            </w:r>
          </w:p>
        </w:tc>
        <w:tc>
          <w:tcPr>
            <w:tcW w:w="2381" w:type="dxa"/>
            <w:vAlign w:val="center"/>
          </w:tcPr>
          <w:p w14:paraId="2E594FAB">
            <w:pPr>
              <w:pStyle w:val="164"/>
              <w:spacing w:before="40" w:after="40" w:line="240" w:lineRule="auto"/>
              <w:ind w:firstLine="0"/>
              <w:jc w:val="left"/>
            </w:pPr>
            <w:r>
              <w:rPr>
                <w:rFonts w:ascii="Arial" w:hAnsi="Arial" w:eastAsia="宋体"/>
                <w:b w:val="0"/>
                <w:sz w:val="21"/>
              </w:rPr>
              <w:t>≤20（改善目标）</w:t>
            </w:r>
          </w:p>
        </w:tc>
        <w:tc>
          <w:tcPr>
            <w:tcW w:w="1814" w:type="dxa"/>
            <w:vAlign w:val="center"/>
          </w:tcPr>
          <w:p w14:paraId="216611FC">
            <w:pPr>
              <w:pStyle w:val="164"/>
              <w:spacing w:before="40" w:after="40" w:line="240" w:lineRule="auto"/>
              <w:ind w:firstLine="0"/>
              <w:jc w:val="left"/>
            </w:pPr>
            <w:r>
              <w:rPr>
                <w:rFonts w:ascii="Arial" w:hAnsi="Arial" w:eastAsia="宋体"/>
                <w:b w:val="0"/>
                <w:sz w:val="21"/>
              </w:rPr>
              <w:t>较治理前显著降低</w:t>
            </w:r>
          </w:p>
        </w:tc>
      </w:tr>
      <w:tr w14:paraId="4A8E175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46FDD8B">
            <w:pPr>
              <w:pStyle w:val="164"/>
              <w:spacing w:before="40" w:after="40" w:line="240" w:lineRule="auto"/>
              <w:ind w:firstLine="0"/>
              <w:jc w:val="center"/>
            </w:pPr>
            <w:r>
              <w:rPr>
                <w:rFonts w:ascii="Arial" w:hAnsi="Arial" w:eastAsia="宋体"/>
                <w:b w:val="0"/>
                <w:sz w:val="21"/>
              </w:rPr>
              <w:t>3</w:t>
            </w:r>
          </w:p>
        </w:tc>
        <w:tc>
          <w:tcPr>
            <w:tcW w:w="2948" w:type="dxa"/>
            <w:vAlign w:val="center"/>
          </w:tcPr>
          <w:p w14:paraId="0690AF82">
            <w:pPr>
              <w:pStyle w:val="164"/>
              <w:spacing w:before="40" w:after="40" w:line="240" w:lineRule="auto"/>
              <w:ind w:firstLine="0"/>
              <w:jc w:val="left"/>
            </w:pPr>
            <w:r>
              <w:rPr>
                <w:rFonts w:ascii="Arial" w:hAnsi="Arial" w:eastAsia="宋体"/>
                <w:b w:val="0"/>
                <w:sz w:val="21"/>
              </w:rPr>
              <w:t>除尘效率</w:t>
            </w:r>
          </w:p>
        </w:tc>
        <w:tc>
          <w:tcPr>
            <w:tcW w:w="1247" w:type="dxa"/>
            <w:vAlign w:val="center"/>
          </w:tcPr>
          <w:p w14:paraId="31495CDA">
            <w:pPr>
              <w:pStyle w:val="164"/>
              <w:spacing w:before="40" w:after="40" w:line="240" w:lineRule="auto"/>
              <w:ind w:firstLine="0"/>
              <w:jc w:val="center"/>
            </w:pPr>
            <w:r>
              <w:rPr>
                <w:rFonts w:ascii="Arial" w:hAnsi="Arial" w:eastAsia="宋体"/>
                <w:b w:val="0"/>
                <w:sz w:val="21"/>
              </w:rPr>
              <w:t>%</w:t>
            </w:r>
          </w:p>
        </w:tc>
        <w:tc>
          <w:tcPr>
            <w:tcW w:w="2381" w:type="dxa"/>
            <w:vAlign w:val="center"/>
          </w:tcPr>
          <w:p w14:paraId="17EF1438">
            <w:pPr>
              <w:pStyle w:val="164"/>
              <w:spacing w:before="40" w:after="40" w:line="240" w:lineRule="auto"/>
              <w:ind w:firstLine="0"/>
              <w:jc w:val="left"/>
            </w:pPr>
            <w:r>
              <w:rPr>
                <w:rFonts w:ascii="Arial" w:hAnsi="Arial" w:eastAsia="宋体"/>
                <w:b w:val="0"/>
                <w:sz w:val="21"/>
              </w:rPr>
              <w:t>≥99.9</w:t>
            </w:r>
          </w:p>
        </w:tc>
        <w:tc>
          <w:tcPr>
            <w:tcW w:w="1814" w:type="dxa"/>
            <w:vAlign w:val="center"/>
          </w:tcPr>
          <w:p w14:paraId="3E025C85">
            <w:pPr>
              <w:pStyle w:val="164"/>
              <w:spacing w:before="40" w:after="40" w:line="240" w:lineRule="auto"/>
              <w:ind w:firstLine="0"/>
              <w:jc w:val="left"/>
            </w:pPr>
            <w:r>
              <w:rPr>
                <w:rFonts w:ascii="Arial" w:hAnsi="Arial" w:eastAsia="宋体"/>
                <w:b w:val="0"/>
                <w:sz w:val="21"/>
              </w:rPr>
              <w:t>进出风侧同步采样计算</w:t>
            </w:r>
          </w:p>
        </w:tc>
      </w:tr>
      <w:tr w14:paraId="4C82DA5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24F761B4">
            <w:pPr>
              <w:pStyle w:val="164"/>
              <w:spacing w:before="40" w:after="40" w:line="240" w:lineRule="auto"/>
              <w:ind w:firstLine="0"/>
              <w:jc w:val="center"/>
            </w:pPr>
            <w:r>
              <w:rPr>
                <w:rFonts w:ascii="Arial" w:hAnsi="Arial" w:eastAsia="宋体"/>
                <w:b w:val="0"/>
                <w:sz w:val="21"/>
              </w:rPr>
              <w:t>4</w:t>
            </w:r>
          </w:p>
        </w:tc>
        <w:tc>
          <w:tcPr>
            <w:tcW w:w="2948" w:type="dxa"/>
            <w:vAlign w:val="center"/>
          </w:tcPr>
          <w:p w14:paraId="04D41B9F">
            <w:pPr>
              <w:pStyle w:val="164"/>
              <w:spacing w:before="40" w:after="40" w:line="240" w:lineRule="auto"/>
              <w:ind w:firstLine="0"/>
              <w:jc w:val="left"/>
            </w:pPr>
            <w:r>
              <w:rPr>
                <w:rFonts w:ascii="Arial" w:hAnsi="Arial" w:eastAsia="宋体"/>
                <w:b w:val="0"/>
                <w:sz w:val="21"/>
              </w:rPr>
              <w:t>设备运行阻力（清灰后）</w:t>
            </w:r>
          </w:p>
        </w:tc>
        <w:tc>
          <w:tcPr>
            <w:tcW w:w="1247" w:type="dxa"/>
            <w:vAlign w:val="center"/>
          </w:tcPr>
          <w:p w14:paraId="23D61FDC">
            <w:pPr>
              <w:pStyle w:val="164"/>
              <w:spacing w:before="40" w:after="40" w:line="240" w:lineRule="auto"/>
              <w:ind w:firstLine="0"/>
              <w:jc w:val="center"/>
            </w:pPr>
            <w:r>
              <w:rPr>
                <w:rFonts w:ascii="Arial" w:hAnsi="Arial" w:eastAsia="宋体"/>
                <w:b w:val="0"/>
                <w:sz w:val="21"/>
              </w:rPr>
              <w:t>Pa</w:t>
            </w:r>
          </w:p>
        </w:tc>
        <w:tc>
          <w:tcPr>
            <w:tcW w:w="2381" w:type="dxa"/>
            <w:vAlign w:val="center"/>
          </w:tcPr>
          <w:p w14:paraId="7587A614">
            <w:pPr>
              <w:pStyle w:val="164"/>
              <w:spacing w:before="40" w:after="40" w:line="240" w:lineRule="auto"/>
              <w:ind w:firstLine="0"/>
              <w:jc w:val="left"/>
            </w:pPr>
            <w:r>
              <w:rPr>
                <w:rFonts w:ascii="Arial" w:hAnsi="Arial" w:eastAsia="宋体"/>
                <w:b w:val="0"/>
                <w:sz w:val="21"/>
              </w:rPr>
              <w:t>≤1500</w:t>
            </w:r>
          </w:p>
        </w:tc>
        <w:tc>
          <w:tcPr>
            <w:tcW w:w="1814" w:type="dxa"/>
            <w:vAlign w:val="center"/>
          </w:tcPr>
          <w:p w14:paraId="4F7439E3">
            <w:pPr>
              <w:pStyle w:val="164"/>
              <w:spacing w:before="40" w:after="40" w:line="240" w:lineRule="auto"/>
              <w:ind w:firstLine="0"/>
              <w:jc w:val="left"/>
            </w:pPr>
            <w:r>
              <w:rPr>
                <w:rFonts w:ascii="Arial" w:hAnsi="Arial" w:eastAsia="宋体"/>
                <w:b w:val="0"/>
                <w:sz w:val="21"/>
              </w:rPr>
              <w:t>滤袋后期允许至1730</w:t>
            </w:r>
          </w:p>
        </w:tc>
      </w:tr>
      <w:tr w14:paraId="5C59D2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D8151EC">
            <w:pPr>
              <w:pStyle w:val="164"/>
              <w:spacing w:before="40" w:after="40" w:line="240" w:lineRule="auto"/>
              <w:ind w:firstLine="0"/>
              <w:jc w:val="center"/>
            </w:pPr>
            <w:r>
              <w:rPr>
                <w:rFonts w:ascii="Arial" w:hAnsi="Arial" w:eastAsia="宋体"/>
                <w:b w:val="0"/>
                <w:sz w:val="21"/>
              </w:rPr>
              <w:t>5</w:t>
            </w:r>
          </w:p>
        </w:tc>
        <w:tc>
          <w:tcPr>
            <w:tcW w:w="2948" w:type="dxa"/>
            <w:vAlign w:val="center"/>
          </w:tcPr>
          <w:p w14:paraId="003F1FE2">
            <w:pPr>
              <w:pStyle w:val="164"/>
              <w:spacing w:before="40" w:after="40" w:line="240" w:lineRule="auto"/>
              <w:ind w:firstLine="0"/>
              <w:jc w:val="left"/>
            </w:pPr>
            <w:r>
              <w:rPr>
                <w:rFonts w:ascii="Arial" w:hAnsi="Arial" w:eastAsia="宋体"/>
                <w:b w:val="0"/>
                <w:sz w:val="21"/>
              </w:rPr>
              <w:t>过滤风速</w:t>
            </w:r>
          </w:p>
        </w:tc>
        <w:tc>
          <w:tcPr>
            <w:tcW w:w="1247" w:type="dxa"/>
            <w:vAlign w:val="center"/>
          </w:tcPr>
          <w:p w14:paraId="3396B1AF">
            <w:pPr>
              <w:pStyle w:val="164"/>
              <w:spacing w:before="40" w:after="40" w:line="240" w:lineRule="auto"/>
              <w:ind w:firstLine="0"/>
              <w:jc w:val="center"/>
            </w:pPr>
            <w:r>
              <w:rPr>
                <w:rFonts w:ascii="Arial" w:hAnsi="Arial" w:eastAsia="宋体"/>
                <w:b w:val="0"/>
                <w:sz w:val="21"/>
              </w:rPr>
              <w:t>m/min</w:t>
            </w:r>
          </w:p>
        </w:tc>
        <w:tc>
          <w:tcPr>
            <w:tcW w:w="2381" w:type="dxa"/>
            <w:vAlign w:val="center"/>
          </w:tcPr>
          <w:p w14:paraId="0F332698">
            <w:pPr>
              <w:pStyle w:val="164"/>
              <w:spacing w:before="40" w:after="40" w:line="240" w:lineRule="auto"/>
              <w:ind w:firstLine="0"/>
              <w:jc w:val="left"/>
            </w:pPr>
            <w:r>
              <w:rPr>
                <w:rFonts w:ascii="Arial" w:hAnsi="Arial" w:eastAsia="宋体"/>
                <w:b w:val="0"/>
                <w:sz w:val="21"/>
              </w:rPr>
              <w:t>≤1.2（设计1.05）</w:t>
            </w:r>
          </w:p>
        </w:tc>
        <w:tc>
          <w:tcPr>
            <w:tcW w:w="1814" w:type="dxa"/>
            <w:vAlign w:val="center"/>
          </w:tcPr>
          <w:p w14:paraId="42D93A31">
            <w:pPr>
              <w:pStyle w:val="164"/>
              <w:spacing w:before="40" w:after="40" w:line="240" w:lineRule="auto"/>
              <w:ind w:firstLine="0"/>
              <w:jc w:val="left"/>
            </w:pPr>
            <w:r>
              <w:rPr>
                <w:rFonts w:ascii="Arial" w:hAnsi="Arial" w:eastAsia="宋体"/>
                <w:b w:val="0"/>
                <w:sz w:val="21"/>
              </w:rPr>
              <w:t>保证清灰效果与滤袋寿命</w:t>
            </w:r>
          </w:p>
        </w:tc>
      </w:tr>
      <w:tr w14:paraId="5EC693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722F162F">
            <w:pPr>
              <w:pStyle w:val="164"/>
              <w:spacing w:before="40" w:after="40" w:line="240" w:lineRule="auto"/>
              <w:ind w:firstLine="0"/>
              <w:jc w:val="center"/>
            </w:pPr>
            <w:r>
              <w:rPr>
                <w:rFonts w:ascii="Arial" w:hAnsi="Arial" w:eastAsia="宋体"/>
                <w:b w:val="0"/>
                <w:sz w:val="21"/>
              </w:rPr>
              <w:t>6</w:t>
            </w:r>
          </w:p>
        </w:tc>
        <w:tc>
          <w:tcPr>
            <w:tcW w:w="2948" w:type="dxa"/>
            <w:vAlign w:val="center"/>
          </w:tcPr>
          <w:p w14:paraId="4871158B">
            <w:pPr>
              <w:pStyle w:val="164"/>
              <w:spacing w:before="40" w:after="40" w:line="240" w:lineRule="auto"/>
              <w:ind w:firstLine="0"/>
              <w:jc w:val="left"/>
            </w:pPr>
            <w:r>
              <w:rPr>
                <w:rFonts w:ascii="Arial" w:hAnsi="Arial" w:eastAsia="宋体"/>
                <w:b w:val="0"/>
                <w:sz w:val="21"/>
              </w:rPr>
              <w:t>漏风率</w:t>
            </w:r>
          </w:p>
        </w:tc>
        <w:tc>
          <w:tcPr>
            <w:tcW w:w="1247" w:type="dxa"/>
            <w:vAlign w:val="center"/>
          </w:tcPr>
          <w:p w14:paraId="7CA508F5">
            <w:pPr>
              <w:pStyle w:val="164"/>
              <w:spacing w:before="40" w:after="40" w:line="240" w:lineRule="auto"/>
              <w:ind w:firstLine="0"/>
              <w:jc w:val="center"/>
            </w:pPr>
            <w:r>
              <w:rPr>
                <w:rFonts w:ascii="Arial" w:hAnsi="Arial" w:eastAsia="宋体"/>
                <w:b w:val="0"/>
                <w:sz w:val="21"/>
              </w:rPr>
              <w:t>%</w:t>
            </w:r>
          </w:p>
        </w:tc>
        <w:tc>
          <w:tcPr>
            <w:tcW w:w="2381" w:type="dxa"/>
            <w:vAlign w:val="center"/>
          </w:tcPr>
          <w:p w14:paraId="75C4DF3A">
            <w:pPr>
              <w:pStyle w:val="164"/>
              <w:spacing w:before="40" w:after="40" w:line="240" w:lineRule="auto"/>
              <w:ind w:firstLine="0"/>
              <w:jc w:val="left"/>
            </w:pPr>
            <w:r>
              <w:rPr>
                <w:rFonts w:ascii="Arial" w:hAnsi="Arial" w:eastAsia="宋体"/>
                <w:b w:val="0"/>
                <w:sz w:val="21"/>
              </w:rPr>
              <w:t>≤5</w:t>
            </w:r>
          </w:p>
        </w:tc>
        <w:tc>
          <w:tcPr>
            <w:tcW w:w="1814" w:type="dxa"/>
            <w:vAlign w:val="center"/>
          </w:tcPr>
          <w:p w14:paraId="04D2F217">
            <w:pPr>
              <w:pStyle w:val="164"/>
              <w:spacing w:before="40" w:after="40" w:line="240" w:lineRule="auto"/>
              <w:ind w:firstLine="0"/>
              <w:jc w:val="left"/>
            </w:pPr>
            <w:r>
              <w:rPr>
                <w:rFonts w:ascii="Arial" w:hAnsi="Arial" w:eastAsia="宋体"/>
                <w:b w:val="0"/>
                <w:sz w:val="21"/>
              </w:rPr>
              <w:t>按HJ 2020-2012要求</w:t>
            </w:r>
          </w:p>
        </w:tc>
      </w:tr>
      <w:tr w14:paraId="44F0249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22D49FFE">
            <w:pPr>
              <w:pStyle w:val="164"/>
              <w:spacing w:before="40" w:after="40" w:line="240" w:lineRule="auto"/>
              <w:ind w:firstLine="0"/>
              <w:jc w:val="center"/>
            </w:pPr>
            <w:r>
              <w:rPr>
                <w:rFonts w:ascii="Arial" w:hAnsi="Arial" w:eastAsia="宋体"/>
                <w:b w:val="0"/>
                <w:sz w:val="21"/>
              </w:rPr>
              <w:t>7</w:t>
            </w:r>
          </w:p>
        </w:tc>
        <w:tc>
          <w:tcPr>
            <w:tcW w:w="2948" w:type="dxa"/>
            <w:vAlign w:val="center"/>
          </w:tcPr>
          <w:p w14:paraId="0F159400">
            <w:pPr>
              <w:pStyle w:val="164"/>
              <w:spacing w:before="40" w:after="40" w:line="240" w:lineRule="auto"/>
              <w:ind w:firstLine="0"/>
              <w:jc w:val="left"/>
            </w:pPr>
            <w:r>
              <w:rPr>
                <w:rFonts w:ascii="Arial" w:hAnsi="Arial" w:eastAsia="宋体"/>
                <w:b w:val="0"/>
                <w:sz w:val="21"/>
              </w:rPr>
              <w:t>系统运行方式</w:t>
            </w:r>
          </w:p>
        </w:tc>
        <w:tc>
          <w:tcPr>
            <w:tcW w:w="1247" w:type="dxa"/>
            <w:vAlign w:val="center"/>
          </w:tcPr>
          <w:p w14:paraId="0786F792">
            <w:pPr>
              <w:pStyle w:val="164"/>
              <w:spacing w:before="40" w:after="40" w:line="240" w:lineRule="auto"/>
              <w:ind w:firstLine="0"/>
              <w:jc w:val="center"/>
            </w:pPr>
            <w:r>
              <w:rPr>
                <w:rFonts w:ascii="Arial" w:hAnsi="Arial" w:eastAsia="宋体"/>
                <w:b w:val="0"/>
                <w:sz w:val="21"/>
              </w:rPr>
              <w:t>—</w:t>
            </w:r>
          </w:p>
        </w:tc>
        <w:tc>
          <w:tcPr>
            <w:tcW w:w="2381" w:type="dxa"/>
            <w:vAlign w:val="center"/>
          </w:tcPr>
          <w:p w14:paraId="03E35133">
            <w:pPr>
              <w:pStyle w:val="164"/>
              <w:spacing w:before="40" w:after="40" w:line="240" w:lineRule="auto"/>
              <w:ind w:firstLine="0"/>
              <w:jc w:val="left"/>
            </w:pPr>
            <w:r>
              <w:rPr>
                <w:rFonts w:ascii="Arial" w:hAnsi="Arial" w:eastAsia="宋体"/>
                <w:b w:val="0"/>
                <w:sz w:val="21"/>
              </w:rPr>
              <w:t>连续/间断自适应</w:t>
            </w:r>
          </w:p>
        </w:tc>
        <w:tc>
          <w:tcPr>
            <w:tcW w:w="1814" w:type="dxa"/>
            <w:vAlign w:val="center"/>
          </w:tcPr>
          <w:p w14:paraId="6BC43F66">
            <w:pPr>
              <w:pStyle w:val="164"/>
              <w:spacing w:before="40" w:after="40" w:line="240" w:lineRule="auto"/>
              <w:ind w:firstLine="0"/>
              <w:jc w:val="left"/>
            </w:pPr>
            <w:r>
              <w:rPr>
                <w:rFonts w:ascii="Arial" w:hAnsi="Arial" w:eastAsia="宋体"/>
                <w:b w:val="0"/>
                <w:sz w:val="21"/>
              </w:rPr>
              <w:t>变频启动，节能运行</w:t>
            </w:r>
          </w:p>
        </w:tc>
      </w:tr>
    </w:tbl>
    <w:p w14:paraId="165F5C8D">
      <w:pPr>
        <w:pStyle w:val="3"/>
      </w:pPr>
      <w:r>
        <w:rPr>
          <w:rFonts w:ascii="Arial" w:hAnsi="Arial" w:eastAsia="黑体"/>
          <w:b/>
          <w:color w:val="000000"/>
          <w:sz w:val="32"/>
        </w:rPr>
        <w:t>3 废气污染源现状分析：产尘环节、粉尘特性与治理必要性</w:t>
      </w:r>
    </w:p>
    <w:p w14:paraId="0CE77431">
      <w:pPr>
        <w:pStyle w:val="4"/>
      </w:pPr>
      <w:r>
        <w:rPr>
          <w:rFonts w:ascii="Arial" w:hAnsi="Arial" w:eastAsia="黑体"/>
          <w:b/>
          <w:color w:val="000000"/>
          <w:sz w:val="28"/>
        </w:rPr>
        <w:t>3.1 生产工艺与产尘环节：尘源识别与污染特征</w:t>
      </w:r>
    </w:p>
    <w:p w14:paraId="56477557">
      <w:r>
        <w:rPr>
          <w:rFonts w:ascii="Arial" w:hAnsi="Arial" w:eastAsia="宋体"/>
          <w:b w:val="0"/>
          <w:sz w:val="24"/>
        </w:rPr>
        <w:t>增碳剂生产以优质无烟煤和石油焦为主要原料，生产过程中原料的储存、装载、转运、筛分与输送等环节是煤粉粉尘的主要产生源。车间内装载、转运颗粒煤原料时，掺杂在煤中的细小颗粒物会漂浮于空气中并随气流在车间内无规则扩散，形成持续的粉尘污染。</w:t>
      </w:r>
    </w:p>
    <w:p w14:paraId="0E0AB2B5">
      <w:r>
        <w:rPr>
          <w:rFonts w:ascii="Arial" w:hAnsi="Arial" w:eastAsia="宋体"/>
          <w:b w:val="0"/>
          <w:sz w:val="24"/>
        </w:rPr>
        <w:t>按产尘机理划分，本工程尘源点具有“点多、面广、分散、间歇”的特征：尘源点分布在原料储存与输送沿线，单点产尘强度随装载、转运作业呈间歇性变化；车间面积大、楼层较高，粉尘在车间内呈无规则运动，捕集难度大，需要针对性地设计捕集罩型与气流组织。</w:t>
      </w:r>
    </w:p>
    <w:p w14:paraId="070DC461">
      <w:pPr>
        <w:pStyle w:val="4"/>
      </w:pPr>
      <w:r>
        <w:rPr>
          <w:rFonts w:ascii="Arial" w:hAnsi="Arial" w:eastAsia="黑体"/>
          <w:b/>
          <w:color w:val="000000"/>
          <w:sz w:val="28"/>
        </w:rPr>
        <w:t>3.2 粉尘特性与危害分析：煤尘可燃性与职业健康风险</w:t>
      </w:r>
    </w:p>
    <w:p w14:paraId="5F254DB4">
      <w:r>
        <w:rPr>
          <w:rFonts w:ascii="Arial" w:hAnsi="Arial" w:eastAsia="宋体"/>
          <w:b w:val="0"/>
          <w:sz w:val="24"/>
        </w:rPr>
        <w:t>本工程治理对象为煤粉粉尘，其特性决定了治理系统的安全设计要求。煤粉颗粒粒径小、质量轻，易在空气中悬浮并长时间滞留；煤粉属于可燃性粉尘，具备粉尘爆炸的基本条件（可燃粉尘、助燃空气、点火源），在浓度达到爆炸下限且存在点火源时可能发生粉尘爆炸，长期积聚在设备表面的煤尘还存在自燃风险。</w:t>
      </w:r>
    </w:p>
    <w:p w14:paraId="27AA34A6">
      <w:r>
        <w:rPr>
          <w:rFonts w:ascii="Arial" w:hAnsi="Arial" w:eastAsia="宋体"/>
          <w:b w:val="0"/>
          <w:sz w:val="24"/>
        </w:rPr>
        <w:t>因此，治理系统除满足净化功能外，必须按GB 15577-2018《粉尘防爆安全规程》开展防爆设计，包括选用抗静电滤料、防爆结构设计、设置防爆装置与粉尘监测报警装置，并在运输、储存、筛分、转运等产尘环节对煤尘进行物化性质测定，从源头消除爆炸与自燃隐患。</w:t>
      </w:r>
    </w:p>
    <w:p w14:paraId="51447028">
      <w:pPr>
        <w:pStyle w:val="4"/>
      </w:pPr>
      <w:r>
        <w:rPr>
          <w:rFonts w:ascii="Arial" w:hAnsi="Arial" w:eastAsia="黑体"/>
          <w:b/>
          <w:color w:val="000000"/>
          <w:sz w:val="28"/>
        </w:rPr>
        <w:t>3.3 现有治理状况与问题：无组织扩散与捕集难点</w:t>
      </w:r>
    </w:p>
    <w:p w14:paraId="6EAD2683">
      <w:r>
        <w:rPr>
          <w:rFonts w:ascii="Arial" w:hAnsi="Arial" w:eastAsia="宋体"/>
          <w:b w:val="0"/>
          <w:sz w:val="24"/>
        </w:rPr>
        <w:t>治理前车间粉尘以无组织扩散为主，缺少系统性的捕集与净化设施，主要问题体现在：一是粉尘在车间大空间内无规则运动，仅依靠局部通风难以有效捕集，作业区域粉尘浓度偏高；二是产尘点分散、作业间歇，若按传统方式统一连续运行，系统能耗高且捕集效果差；三是缺乏针对可燃煤尘的防爆设计，存在安全隐患；四是粉尘沉积影响设备运行与产品质量。上述问题共同决定了本工程必须采用“分区独立、按需运行、高效净化、防爆达标”的系统性治理方案。</w:t>
      </w:r>
    </w:p>
    <w:p w14:paraId="72624613">
      <w:pPr>
        <w:pStyle w:val="4"/>
      </w:pPr>
      <w:r>
        <w:rPr>
          <w:rFonts w:ascii="Arial" w:hAnsi="Arial" w:eastAsia="黑体"/>
          <w:b/>
          <w:color w:val="000000"/>
          <w:sz w:val="28"/>
        </w:rPr>
        <w:t>3.4 产尘点分布与系统划分：就近集中、分区独立</w:t>
      </w:r>
    </w:p>
    <w:p w14:paraId="7B179346">
      <w:r>
        <w:rPr>
          <w:rFonts w:ascii="Arial" w:hAnsi="Arial" w:eastAsia="宋体"/>
          <w:b w:val="0"/>
          <w:sz w:val="24"/>
        </w:rPr>
        <w:t>针对工艺系统分布面广、尘源点分散的特点，系统划分遵循就近集中与同时性两个原则：一是按就近集中原则，将比较集中的尘源点划为一个系统，便于阻力平衡、减少除尘系统数量、降低投资并便于维护管理；二是按同时运行原则，将同时扬尘的尘源点划归同一除尘系统，对间断、不同时运转的设备单独设置风阀控制，减少系统运行能耗。</w:t>
      </w:r>
    </w:p>
    <w:p w14:paraId="13F610BB">
      <w:r>
        <w:rPr>
          <w:rFonts w:ascii="Arial" w:hAnsi="Arial" w:eastAsia="宋体"/>
          <w:b w:val="0"/>
          <w:sz w:val="24"/>
        </w:rPr>
        <w:t>依据GB 15577-2018第8.1条关于可燃性粉尘除尘系统应分片（分区）设置相对独立系统的要求，本工程按产尘点分布及车间功能区域划分系统，各区域尘源分别并入主管道，全厂配置2套相对独立的除尘系统，单套处理风量50000 m³/h，兼顾防爆安全与运行经济性。</w:t>
      </w:r>
    </w:p>
    <w:p w14:paraId="2D19AE2C">
      <w:pPr>
        <w:pStyle w:val="3"/>
      </w:pPr>
      <w:r>
        <w:rPr>
          <w:rFonts w:ascii="Arial" w:hAnsi="Arial" w:eastAsia="黑体"/>
          <w:b/>
          <w:color w:val="000000"/>
          <w:sz w:val="32"/>
        </w:rPr>
        <w:t>4 治理工艺选型及原理：袋式除尘路线的论证与确定</w:t>
      </w:r>
    </w:p>
    <w:p w14:paraId="233318A6">
      <w:pPr>
        <w:pStyle w:val="4"/>
      </w:pPr>
      <w:r>
        <w:rPr>
          <w:rFonts w:ascii="Arial" w:hAnsi="Arial" w:eastAsia="黑体"/>
          <w:b/>
          <w:color w:val="000000"/>
          <w:sz w:val="28"/>
        </w:rPr>
        <w:t>4.1 常用除尘工艺对比：五类工艺的适应性论证</w:t>
      </w:r>
    </w:p>
    <w:p w14:paraId="17A562E4">
      <w:r>
        <w:rPr>
          <w:rFonts w:ascii="Arial" w:hAnsi="Arial" w:eastAsia="宋体"/>
          <w:b w:val="0"/>
          <w:sz w:val="24"/>
        </w:rPr>
        <w:t>工业粉尘治理的主流工艺包括重力沉降、旋风除尘、湿式除尘、电除尘与袋式除尘五类，其技术经济特性对比如下：</w:t>
      </w:r>
    </w:p>
    <w:p w14:paraId="249AEBFE">
      <w:pPr>
        <w:pStyle w:val="15"/>
      </w:pPr>
      <w:r>
        <w:rPr>
          <w:rFonts w:ascii="Arial" w:hAnsi="Arial" w:eastAsia="宋体"/>
          <w:b w:val="0"/>
          <w:color w:val="000000"/>
          <w:sz w:val="21"/>
        </w:rPr>
        <w:t>表3 常用除尘工艺对比选型论证</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96"/>
        <w:gridCol w:w="1296"/>
        <w:gridCol w:w="1296"/>
        <w:gridCol w:w="1296"/>
        <w:gridCol w:w="1296"/>
        <w:gridCol w:w="1296"/>
        <w:gridCol w:w="1296"/>
      </w:tblGrid>
      <w:tr w14:paraId="6FF9EEE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567" w:type="dxa"/>
            <w:shd w:val="clear" w:color="auto" w:fill="D9D9D9"/>
            <w:vAlign w:val="center"/>
          </w:tcPr>
          <w:p w14:paraId="177C5324">
            <w:pPr>
              <w:pStyle w:val="164"/>
              <w:spacing w:before="40" w:after="40" w:line="240" w:lineRule="auto"/>
              <w:ind w:firstLine="0"/>
              <w:jc w:val="center"/>
            </w:pPr>
            <w:r>
              <w:rPr>
                <w:rFonts w:ascii="Arial" w:hAnsi="Arial" w:eastAsia="宋体"/>
                <w:b/>
                <w:sz w:val="21"/>
              </w:rPr>
              <w:t>序号</w:t>
            </w:r>
          </w:p>
        </w:tc>
        <w:tc>
          <w:tcPr>
            <w:tcW w:w="1474" w:type="dxa"/>
            <w:shd w:val="clear" w:color="auto" w:fill="D9D9D9"/>
            <w:vAlign w:val="center"/>
          </w:tcPr>
          <w:p w14:paraId="459C63E0">
            <w:pPr>
              <w:pStyle w:val="164"/>
              <w:spacing w:before="40" w:after="40" w:line="240" w:lineRule="auto"/>
              <w:ind w:firstLine="0"/>
              <w:jc w:val="center"/>
            </w:pPr>
            <w:r>
              <w:rPr>
                <w:rFonts w:ascii="Arial" w:hAnsi="Arial" w:eastAsia="宋体"/>
                <w:b/>
                <w:sz w:val="21"/>
              </w:rPr>
              <w:t>工艺类型</w:t>
            </w:r>
          </w:p>
        </w:tc>
        <w:tc>
          <w:tcPr>
            <w:tcW w:w="1247" w:type="dxa"/>
            <w:shd w:val="clear" w:color="auto" w:fill="D9D9D9"/>
            <w:vAlign w:val="center"/>
          </w:tcPr>
          <w:p w14:paraId="5590DAF5">
            <w:pPr>
              <w:pStyle w:val="164"/>
              <w:spacing w:before="40" w:after="40" w:line="240" w:lineRule="auto"/>
              <w:ind w:firstLine="0"/>
              <w:jc w:val="center"/>
            </w:pPr>
            <w:r>
              <w:rPr>
                <w:rFonts w:ascii="Arial" w:hAnsi="Arial" w:eastAsia="宋体"/>
                <w:b/>
                <w:sz w:val="21"/>
              </w:rPr>
              <w:t>除尘效率</w:t>
            </w:r>
          </w:p>
        </w:tc>
        <w:tc>
          <w:tcPr>
            <w:tcW w:w="1134" w:type="dxa"/>
            <w:shd w:val="clear" w:color="auto" w:fill="D9D9D9"/>
            <w:vAlign w:val="center"/>
          </w:tcPr>
          <w:p w14:paraId="4EC1E428">
            <w:pPr>
              <w:pStyle w:val="164"/>
              <w:spacing w:before="40" w:after="40" w:line="240" w:lineRule="auto"/>
              <w:ind w:firstLine="0"/>
              <w:jc w:val="center"/>
            </w:pPr>
            <w:r>
              <w:rPr>
                <w:rFonts w:ascii="Arial" w:hAnsi="Arial" w:eastAsia="宋体"/>
                <w:b/>
                <w:sz w:val="21"/>
              </w:rPr>
              <w:t>适用粒径</w:t>
            </w:r>
          </w:p>
        </w:tc>
        <w:tc>
          <w:tcPr>
            <w:tcW w:w="1928" w:type="dxa"/>
            <w:shd w:val="clear" w:color="auto" w:fill="D9D9D9"/>
            <w:vAlign w:val="center"/>
          </w:tcPr>
          <w:p w14:paraId="46D573CE">
            <w:pPr>
              <w:pStyle w:val="164"/>
              <w:spacing w:before="40" w:after="40" w:line="240" w:lineRule="auto"/>
              <w:ind w:firstLine="0"/>
              <w:jc w:val="center"/>
            </w:pPr>
            <w:r>
              <w:rPr>
                <w:rFonts w:ascii="Arial" w:hAnsi="Arial" w:eastAsia="宋体"/>
                <w:b/>
                <w:sz w:val="21"/>
              </w:rPr>
              <w:t>煤尘防爆适配性</w:t>
            </w:r>
          </w:p>
        </w:tc>
        <w:tc>
          <w:tcPr>
            <w:tcW w:w="1247" w:type="dxa"/>
            <w:shd w:val="clear" w:color="auto" w:fill="D9D9D9"/>
            <w:vAlign w:val="center"/>
          </w:tcPr>
          <w:p w14:paraId="72A33C73">
            <w:pPr>
              <w:pStyle w:val="164"/>
              <w:spacing w:before="40" w:after="40" w:line="240" w:lineRule="auto"/>
              <w:ind w:firstLine="0"/>
              <w:jc w:val="center"/>
            </w:pPr>
            <w:r>
              <w:rPr>
                <w:rFonts w:ascii="Arial" w:hAnsi="Arial" w:eastAsia="宋体"/>
                <w:b/>
                <w:sz w:val="21"/>
              </w:rPr>
              <w:t>运行维护</w:t>
            </w:r>
          </w:p>
        </w:tc>
        <w:tc>
          <w:tcPr>
            <w:tcW w:w="1474" w:type="dxa"/>
            <w:shd w:val="clear" w:color="auto" w:fill="D9D9D9"/>
            <w:vAlign w:val="center"/>
          </w:tcPr>
          <w:p w14:paraId="1263F502">
            <w:pPr>
              <w:pStyle w:val="164"/>
              <w:spacing w:before="40" w:after="40" w:line="240" w:lineRule="auto"/>
              <w:ind w:firstLine="0"/>
              <w:jc w:val="center"/>
            </w:pPr>
            <w:r>
              <w:rPr>
                <w:rFonts w:ascii="Arial" w:hAnsi="Arial" w:eastAsia="宋体"/>
                <w:b/>
                <w:sz w:val="21"/>
              </w:rPr>
              <w:t>综合评价</w:t>
            </w:r>
          </w:p>
        </w:tc>
      </w:tr>
      <w:tr w14:paraId="70FD9B1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1AEDAF90">
            <w:pPr>
              <w:pStyle w:val="164"/>
              <w:spacing w:before="40" w:after="40" w:line="240" w:lineRule="auto"/>
              <w:ind w:firstLine="0"/>
              <w:jc w:val="center"/>
            </w:pPr>
            <w:r>
              <w:rPr>
                <w:rFonts w:ascii="Arial" w:hAnsi="Arial" w:eastAsia="宋体"/>
                <w:b w:val="0"/>
                <w:sz w:val="21"/>
              </w:rPr>
              <w:t>1</w:t>
            </w:r>
          </w:p>
        </w:tc>
        <w:tc>
          <w:tcPr>
            <w:tcW w:w="1474" w:type="dxa"/>
            <w:vAlign w:val="center"/>
          </w:tcPr>
          <w:p w14:paraId="0C56871E">
            <w:pPr>
              <w:pStyle w:val="164"/>
              <w:spacing w:before="40" w:after="40" w:line="240" w:lineRule="auto"/>
              <w:ind w:firstLine="0"/>
              <w:jc w:val="left"/>
            </w:pPr>
            <w:r>
              <w:rPr>
                <w:rFonts w:ascii="Arial" w:hAnsi="Arial" w:eastAsia="宋体"/>
                <w:b w:val="0"/>
                <w:sz w:val="21"/>
              </w:rPr>
              <w:t>重力沉降室</w:t>
            </w:r>
          </w:p>
        </w:tc>
        <w:tc>
          <w:tcPr>
            <w:tcW w:w="1247" w:type="dxa"/>
            <w:vAlign w:val="center"/>
          </w:tcPr>
          <w:p w14:paraId="296862EE">
            <w:pPr>
              <w:pStyle w:val="164"/>
              <w:spacing w:before="40" w:after="40" w:line="240" w:lineRule="auto"/>
              <w:ind w:firstLine="0"/>
              <w:jc w:val="center"/>
            </w:pPr>
            <w:r>
              <w:rPr>
                <w:rFonts w:ascii="Arial" w:hAnsi="Arial" w:eastAsia="宋体"/>
                <w:b w:val="0"/>
                <w:sz w:val="21"/>
              </w:rPr>
              <w:t>＜70%</w:t>
            </w:r>
          </w:p>
        </w:tc>
        <w:tc>
          <w:tcPr>
            <w:tcW w:w="1134" w:type="dxa"/>
            <w:vAlign w:val="center"/>
          </w:tcPr>
          <w:p w14:paraId="63B7BD79">
            <w:pPr>
              <w:pStyle w:val="164"/>
              <w:spacing w:before="40" w:after="40" w:line="240" w:lineRule="auto"/>
              <w:ind w:firstLine="0"/>
              <w:jc w:val="center"/>
            </w:pPr>
            <w:r>
              <w:rPr>
                <w:rFonts w:ascii="Arial" w:hAnsi="Arial" w:eastAsia="宋体"/>
                <w:b w:val="0"/>
                <w:sz w:val="21"/>
              </w:rPr>
              <w:t>＞50μm</w:t>
            </w:r>
          </w:p>
        </w:tc>
        <w:tc>
          <w:tcPr>
            <w:tcW w:w="1928" w:type="dxa"/>
            <w:vAlign w:val="center"/>
          </w:tcPr>
          <w:p w14:paraId="08B0A7C0">
            <w:pPr>
              <w:pStyle w:val="164"/>
              <w:spacing w:before="40" w:after="40" w:line="240" w:lineRule="auto"/>
              <w:ind w:firstLine="0"/>
              <w:jc w:val="left"/>
            </w:pPr>
            <w:r>
              <w:rPr>
                <w:rFonts w:ascii="Arial" w:hAnsi="Arial" w:eastAsia="宋体"/>
                <w:b w:val="0"/>
                <w:sz w:val="21"/>
              </w:rPr>
              <w:t>一般</w:t>
            </w:r>
          </w:p>
        </w:tc>
        <w:tc>
          <w:tcPr>
            <w:tcW w:w="1247" w:type="dxa"/>
            <w:vAlign w:val="center"/>
          </w:tcPr>
          <w:p w14:paraId="2C1350F4">
            <w:pPr>
              <w:pStyle w:val="164"/>
              <w:spacing w:before="40" w:after="40" w:line="240" w:lineRule="auto"/>
              <w:ind w:firstLine="0"/>
              <w:jc w:val="left"/>
            </w:pPr>
            <w:r>
              <w:rPr>
                <w:rFonts w:ascii="Arial" w:hAnsi="Arial" w:eastAsia="宋体"/>
                <w:b w:val="0"/>
                <w:sz w:val="21"/>
              </w:rPr>
              <w:t>简单</w:t>
            </w:r>
          </w:p>
        </w:tc>
        <w:tc>
          <w:tcPr>
            <w:tcW w:w="1474" w:type="dxa"/>
            <w:vAlign w:val="center"/>
          </w:tcPr>
          <w:p w14:paraId="1AF18D8D">
            <w:pPr>
              <w:pStyle w:val="164"/>
              <w:spacing w:before="40" w:after="40" w:line="240" w:lineRule="auto"/>
              <w:ind w:firstLine="0"/>
              <w:jc w:val="left"/>
            </w:pPr>
            <w:r>
              <w:rPr>
                <w:rFonts w:ascii="Arial" w:hAnsi="Arial" w:eastAsia="宋体"/>
                <w:b w:val="0"/>
                <w:sz w:val="21"/>
              </w:rPr>
              <w:t>效率过低，仅作预分离</w:t>
            </w:r>
          </w:p>
        </w:tc>
      </w:tr>
      <w:tr w14:paraId="4594454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1FDDC921">
            <w:pPr>
              <w:pStyle w:val="164"/>
              <w:spacing w:before="40" w:after="40" w:line="240" w:lineRule="auto"/>
              <w:ind w:firstLine="0"/>
              <w:jc w:val="center"/>
            </w:pPr>
            <w:r>
              <w:rPr>
                <w:rFonts w:ascii="Arial" w:hAnsi="Arial" w:eastAsia="宋体"/>
                <w:b w:val="0"/>
                <w:sz w:val="21"/>
              </w:rPr>
              <w:t>2</w:t>
            </w:r>
          </w:p>
        </w:tc>
        <w:tc>
          <w:tcPr>
            <w:tcW w:w="1474" w:type="dxa"/>
            <w:vAlign w:val="center"/>
          </w:tcPr>
          <w:p w14:paraId="7EFFB01A">
            <w:pPr>
              <w:pStyle w:val="164"/>
              <w:spacing w:before="40" w:after="40" w:line="240" w:lineRule="auto"/>
              <w:ind w:firstLine="0"/>
              <w:jc w:val="left"/>
            </w:pPr>
            <w:r>
              <w:rPr>
                <w:rFonts w:ascii="Arial" w:hAnsi="Arial" w:eastAsia="宋体"/>
                <w:b w:val="0"/>
                <w:sz w:val="21"/>
              </w:rPr>
              <w:t>旋风除尘器</w:t>
            </w:r>
          </w:p>
        </w:tc>
        <w:tc>
          <w:tcPr>
            <w:tcW w:w="1247" w:type="dxa"/>
            <w:vAlign w:val="center"/>
          </w:tcPr>
          <w:p w14:paraId="08F843E9">
            <w:pPr>
              <w:pStyle w:val="164"/>
              <w:spacing w:before="40" w:after="40" w:line="240" w:lineRule="auto"/>
              <w:ind w:firstLine="0"/>
              <w:jc w:val="center"/>
            </w:pPr>
            <w:r>
              <w:rPr>
                <w:rFonts w:ascii="Arial" w:hAnsi="Arial" w:eastAsia="宋体"/>
                <w:b w:val="0"/>
                <w:sz w:val="21"/>
              </w:rPr>
              <w:t>85%～92%</w:t>
            </w:r>
          </w:p>
        </w:tc>
        <w:tc>
          <w:tcPr>
            <w:tcW w:w="1134" w:type="dxa"/>
            <w:vAlign w:val="center"/>
          </w:tcPr>
          <w:p w14:paraId="251677DB">
            <w:pPr>
              <w:pStyle w:val="164"/>
              <w:spacing w:before="40" w:after="40" w:line="240" w:lineRule="auto"/>
              <w:ind w:firstLine="0"/>
              <w:jc w:val="center"/>
            </w:pPr>
            <w:r>
              <w:rPr>
                <w:rFonts w:ascii="Arial" w:hAnsi="Arial" w:eastAsia="宋体"/>
                <w:b w:val="0"/>
                <w:sz w:val="21"/>
              </w:rPr>
              <w:t>＞10μm</w:t>
            </w:r>
          </w:p>
        </w:tc>
        <w:tc>
          <w:tcPr>
            <w:tcW w:w="1928" w:type="dxa"/>
            <w:vAlign w:val="center"/>
          </w:tcPr>
          <w:p w14:paraId="597DEB4C">
            <w:pPr>
              <w:pStyle w:val="164"/>
              <w:spacing w:before="40" w:after="40" w:line="240" w:lineRule="auto"/>
              <w:ind w:firstLine="0"/>
              <w:jc w:val="left"/>
            </w:pPr>
            <w:r>
              <w:rPr>
                <w:rFonts w:ascii="Arial" w:hAnsi="Arial" w:eastAsia="宋体"/>
                <w:b w:val="0"/>
                <w:sz w:val="21"/>
              </w:rPr>
              <w:t>一般</w:t>
            </w:r>
          </w:p>
        </w:tc>
        <w:tc>
          <w:tcPr>
            <w:tcW w:w="1247" w:type="dxa"/>
            <w:vAlign w:val="center"/>
          </w:tcPr>
          <w:p w14:paraId="1324EF82">
            <w:pPr>
              <w:pStyle w:val="164"/>
              <w:spacing w:before="40" w:after="40" w:line="240" w:lineRule="auto"/>
              <w:ind w:firstLine="0"/>
              <w:jc w:val="left"/>
            </w:pPr>
            <w:r>
              <w:rPr>
                <w:rFonts w:ascii="Arial" w:hAnsi="Arial" w:eastAsia="宋体"/>
                <w:b w:val="0"/>
                <w:sz w:val="21"/>
              </w:rPr>
              <w:t>简单</w:t>
            </w:r>
          </w:p>
        </w:tc>
        <w:tc>
          <w:tcPr>
            <w:tcW w:w="1474" w:type="dxa"/>
            <w:vAlign w:val="center"/>
          </w:tcPr>
          <w:p w14:paraId="6384BC7C">
            <w:pPr>
              <w:pStyle w:val="164"/>
              <w:spacing w:before="40" w:after="40" w:line="240" w:lineRule="auto"/>
              <w:ind w:firstLine="0"/>
              <w:jc w:val="left"/>
            </w:pPr>
            <w:r>
              <w:rPr>
                <w:rFonts w:ascii="Arial" w:hAnsi="Arial" w:eastAsia="宋体"/>
                <w:b w:val="0"/>
                <w:sz w:val="21"/>
              </w:rPr>
              <w:t>效率不足，难以达标</w:t>
            </w:r>
          </w:p>
        </w:tc>
      </w:tr>
      <w:tr w14:paraId="1DCAF70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6D7DF676">
            <w:pPr>
              <w:pStyle w:val="164"/>
              <w:spacing w:before="40" w:after="40" w:line="240" w:lineRule="auto"/>
              <w:ind w:firstLine="0"/>
              <w:jc w:val="center"/>
            </w:pPr>
            <w:r>
              <w:rPr>
                <w:rFonts w:ascii="Arial" w:hAnsi="Arial" w:eastAsia="宋体"/>
                <w:b w:val="0"/>
                <w:sz w:val="21"/>
              </w:rPr>
              <w:t>3</w:t>
            </w:r>
          </w:p>
        </w:tc>
        <w:tc>
          <w:tcPr>
            <w:tcW w:w="1474" w:type="dxa"/>
            <w:vAlign w:val="center"/>
          </w:tcPr>
          <w:p w14:paraId="4A1B05B8">
            <w:pPr>
              <w:pStyle w:val="164"/>
              <w:spacing w:before="40" w:after="40" w:line="240" w:lineRule="auto"/>
              <w:ind w:firstLine="0"/>
              <w:jc w:val="left"/>
            </w:pPr>
            <w:r>
              <w:rPr>
                <w:rFonts w:ascii="Arial" w:hAnsi="Arial" w:eastAsia="宋体"/>
                <w:b w:val="0"/>
                <w:sz w:val="21"/>
              </w:rPr>
              <w:t>湿式除尘器</w:t>
            </w:r>
          </w:p>
        </w:tc>
        <w:tc>
          <w:tcPr>
            <w:tcW w:w="1247" w:type="dxa"/>
            <w:vAlign w:val="center"/>
          </w:tcPr>
          <w:p w14:paraId="2EFF250F">
            <w:pPr>
              <w:pStyle w:val="164"/>
              <w:spacing w:before="40" w:after="40" w:line="240" w:lineRule="auto"/>
              <w:ind w:firstLine="0"/>
              <w:jc w:val="center"/>
            </w:pPr>
            <w:r>
              <w:rPr>
                <w:rFonts w:ascii="Arial" w:hAnsi="Arial" w:eastAsia="宋体"/>
                <w:b w:val="0"/>
                <w:sz w:val="21"/>
              </w:rPr>
              <w:t>95%～99%</w:t>
            </w:r>
          </w:p>
        </w:tc>
        <w:tc>
          <w:tcPr>
            <w:tcW w:w="1134" w:type="dxa"/>
            <w:vAlign w:val="center"/>
          </w:tcPr>
          <w:p w14:paraId="3A5380FB">
            <w:pPr>
              <w:pStyle w:val="164"/>
              <w:spacing w:before="40" w:after="40" w:line="240" w:lineRule="auto"/>
              <w:ind w:firstLine="0"/>
              <w:jc w:val="center"/>
            </w:pPr>
            <w:r>
              <w:rPr>
                <w:rFonts w:ascii="Arial" w:hAnsi="Arial" w:eastAsia="宋体"/>
                <w:b w:val="0"/>
                <w:sz w:val="21"/>
              </w:rPr>
              <w:t>＞1μm</w:t>
            </w:r>
          </w:p>
        </w:tc>
        <w:tc>
          <w:tcPr>
            <w:tcW w:w="1928" w:type="dxa"/>
            <w:vAlign w:val="center"/>
          </w:tcPr>
          <w:p w14:paraId="2E0D76B1">
            <w:pPr>
              <w:pStyle w:val="164"/>
              <w:spacing w:before="40" w:after="40" w:line="240" w:lineRule="auto"/>
              <w:ind w:firstLine="0"/>
              <w:jc w:val="left"/>
            </w:pPr>
            <w:r>
              <w:rPr>
                <w:rFonts w:ascii="Arial" w:hAnsi="Arial" w:eastAsia="宋体"/>
                <w:b w:val="0"/>
                <w:sz w:val="21"/>
              </w:rPr>
              <w:t>需防爆评估</w:t>
            </w:r>
          </w:p>
        </w:tc>
        <w:tc>
          <w:tcPr>
            <w:tcW w:w="1247" w:type="dxa"/>
            <w:vAlign w:val="center"/>
          </w:tcPr>
          <w:p w14:paraId="5F15B79C">
            <w:pPr>
              <w:pStyle w:val="164"/>
              <w:spacing w:before="40" w:after="40" w:line="240" w:lineRule="auto"/>
              <w:ind w:firstLine="0"/>
              <w:jc w:val="left"/>
            </w:pPr>
            <w:r>
              <w:rPr>
                <w:rFonts w:ascii="Arial" w:hAnsi="Arial" w:eastAsia="宋体"/>
                <w:b w:val="0"/>
                <w:sz w:val="21"/>
              </w:rPr>
              <w:t>产生污泥、废水</w:t>
            </w:r>
          </w:p>
        </w:tc>
        <w:tc>
          <w:tcPr>
            <w:tcW w:w="1474" w:type="dxa"/>
            <w:vAlign w:val="center"/>
          </w:tcPr>
          <w:p w14:paraId="156C51B9">
            <w:pPr>
              <w:pStyle w:val="164"/>
              <w:spacing w:before="40" w:after="40" w:line="240" w:lineRule="auto"/>
              <w:ind w:firstLine="0"/>
              <w:jc w:val="left"/>
            </w:pPr>
            <w:r>
              <w:rPr>
                <w:rFonts w:ascii="Arial" w:hAnsi="Arial" w:eastAsia="宋体"/>
                <w:b w:val="0"/>
                <w:sz w:val="21"/>
              </w:rPr>
              <w:t>有废水处理负担</w:t>
            </w:r>
          </w:p>
        </w:tc>
      </w:tr>
      <w:tr w14:paraId="4484B65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2F4C0DAC">
            <w:pPr>
              <w:pStyle w:val="164"/>
              <w:spacing w:before="40" w:after="40" w:line="240" w:lineRule="auto"/>
              <w:ind w:firstLine="0"/>
              <w:jc w:val="center"/>
            </w:pPr>
            <w:r>
              <w:rPr>
                <w:rFonts w:ascii="Arial" w:hAnsi="Arial" w:eastAsia="宋体"/>
                <w:b w:val="0"/>
                <w:sz w:val="21"/>
              </w:rPr>
              <w:t>4</w:t>
            </w:r>
          </w:p>
        </w:tc>
        <w:tc>
          <w:tcPr>
            <w:tcW w:w="1474" w:type="dxa"/>
            <w:vAlign w:val="center"/>
          </w:tcPr>
          <w:p w14:paraId="77727D60">
            <w:pPr>
              <w:pStyle w:val="164"/>
              <w:spacing w:before="40" w:after="40" w:line="240" w:lineRule="auto"/>
              <w:ind w:firstLine="0"/>
              <w:jc w:val="left"/>
            </w:pPr>
            <w:r>
              <w:rPr>
                <w:rFonts w:ascii="Arial" w:hAnsi="Arial" w:eastAsia="宋体"/>
                <w:b w:val="0"/>
                <w:sz w:val="21"/>
              </w:rPr>
              <w:t>电除尘器</w:t>
            </w:r>
          </w:p>
        </w:tc>
        <w:tc>
          <w:tcPr>
            <w:tcW w:w="1247" w:type="dxa"/>
            <w:vAlign w:val="center"/>
          </w:tcPr>
          <w:p w14:paraId="355110CD">
            <w:pPr>
              <w:pStyle w:val="164"/>
              <w:spacing w:before="40" w:after="40" w:line="240" w:lineRule="auto"/>
              <w:ind w:firstLine="0"/>
              <w:jc w:val="center"/>
            </w:pPr>
            <w:r>
              <w:rPr>
                <w:rFonts w:ascii="Arial" w:hAnsi="Arial" w:eastAsia="宋体"/>
                <w:b w:val="0"/>
                <w:sz w:val="21"/>
              </w:rPr>
              <w:t>98%～99.5%</w:t>
            </w:r>
          </w:p>
        </w:tc>
        <w:tc>
          <w:tcPr>
            <w:tcW w:w="1134" w:type="dxa"/>
            <w:vAlign w:val="center"/>
          </w:tcPr>
          <w:p w14:paraId="25587468">
            <w:pPr>
              <w:pStyle w:val="164"/>
              <w:spacing w:before="40" w:after="40" w:line="240" w:lineRule="auto"/>
              <w:ind w:firstLine="0"/>
              <w:jc w:val="center"/>
            </w:pPr>
            <w:r>
              <w:rPr>
                <w:rFonts w:ascii="Arial" w:hAnsi="Arial" w:eastAsia="宋体"/>
                <w:b w:val="0"/>
                <w:sz w:val="21"/>
              </w:rPr>
              <w:t>＞0.1μm</w:t>
            </w:r>
          </w:p>
        </w:tc>
        <w:tc>
          <w:tcPr>
            <w:tcW w:w="1928" w:type="dxa"/>
            <w:vAlign w:val="center"/>
          </w:tcPr>
          <w:p w14:paraId="49206BDB">
            <w:pPr>
              <w:pStyle w:val="164"/>
              <w:spacing w:before="40" w:after="40" w:line="240" w:lineRule="auto"/>
              <w:ind w:firstLine="0"/>
              <w:jc w:val="left"/>
            </w:pPr>
            <w:r>
              <w:rPr>
                <w:rFonts w:ascii="Arial" w:hAnsi="Arial" w:eastAsia="宋体"/>
                <w:b w:val="0"/>
                <w:sz w:val="21"/>
              </w:rPr>
              <w:t>高压电场存在引燃风险</w:t>
            </w:r>
          </w:p>
        </w:tc>
        <w:tc>
          <w:tcPr>
            <w:tcW w:w="1247" w:type="dxa"/>
            <w:vAlign w:val="center"/>
          </w:tcPr>
          <w:p w14:paraId="42D8E244">
            <w:pPr>
              <w:pStyle w:val="164"/>
              <w:spacing w:before="40" w:after="40" w:line="240" w:lineRule="auto"/>
              <w:ind w:firstLine="0"/>
              <w:jc w:val="left"/>
            </w:pPr>
            <w:r>
              <w:rPr>
                <w:rFonts w:ascii="Arial" w:hAnsi="Arial" w:eastAsia="宋体"/>
                <w:b w:val="0"/>
                <w:sz w:val="21"/>
              </w:rPr>
              <w:t>较复杂</w:t>
            </w:r>
          </w:p>
        </w:tc>
        <w:tc>
          <w:tcPr>
            <w:tcW w:w="1474" w:type="dxa"/>
            <w:vAlign w:val="center"/>
          </w:tcPr>
          <w:p w14:paraId="52A45B0D">
            <w:pPr>
              <w:pStyle w:val="164"/>
              <w:spacing w:before="40" w:after="40" w:line="240" w:lineRule="auto"/>
              <w:ind w:firstLine="0"/>
              <w:jc w:val="left"/>
            </w:pPr>
            <w:r>
              <w:rPr>
                <w:rFonts w:ascii="Arial" w:hAnsi="Arial" w:eastAsia="宋体"/>
                <w:b w:val="0"/>
                <w:sz w:val="21"/>
              </w:rPr>
              <w:t>投资高，对煤尘比电阻敏感</w:t>
            </w:r>
          </w:p>
        </w:tc>
      </w:tr>
      <w:tr w14:paraId="4CAD8E8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6F7032EE">
            <w:pPr>
              <w:pStyle w:val="164"/>
              <w:spacing w:before="40" w:after="40" w:line="240" w:lineRule="auto"/>
              <w:ind w:firstLine="0"/>
              <w:jc w:val="center"/>
            </w:pPr>
            <w:r>
              <w:rPr>
                <w:rFonts w:ascii="Arial" w:hAnsi="Arial" w:eastAsia="宋体"/>
                <w:b w:val="0"/>
                <w:sz w:val="21"/>
              </w:rPr>
              <w:t>5</w:t>
            </w:r>
          </w:p>
        </w:tc>
        <w:tc>
          <w:tcPr>
            <w:tcW w:w="1474" w:type="dxa"/>
            <w:vAlign w:val="center"/>
          </w:tcPr>
          <w:p w14:paraId="61D3C289">
            <w:pPr>
              <w:pStyle w:val="164"/>
              <w:spacing w:before="40" w:after="40" w:line="240" w:lineRule="auto"/>
              <w:ind w:firstLine="0"/>
              <w:jc w:val="left"/>
            </w:pPr>
            <w:r>
              <w:rPr>
                <w:rFonts w:ascii="Arial" w:hAnsi="Arial" w:eastAsia="宋体"/>
                <w:b w:val="0"/>
                <w:sz w:val="21"/>
              </w:rPr>
              <w:t>袋式除尘器</w:t>
            </w:r>
          </w:p>
        </w:tc>
        <w:tc>
          <w:tcPr>
            <w:tcW w:w="1247" w:type="dxa"/>
            <w:vAlign w:val="center"/>
          </w:tcPr>
          <w:p w14:paraId="74987521">
            <w:pPr>
              <w:pStyle w:val="164"/>
              <w:spacing w:before="40" w:after="40" w:line="240" w:lineRule="auto"/>
              <w:ind w:firstLine="0"/>
              <w:jc w:val="center"/>
            </w:pPr>
            <w:r>
              <w:rPr>
                <w:rFonts w:ascii="Arial" w:hAnsi="Arial" w:eastAsia="宋体"/>
                <w:b w:val="0"/>
                <w:sz w:val="21"/>
              </w:rPr>
              <w:t>≥99.9%</w:t>
            </w:r>
          </w:p>
        </w:tc>
        <w:tc>
          <w:tcPr>
            <w:tcW w:w="1134" w:type="dxa"/>
            <w:vAlign w:val="center"/>
          </w:tcPr>
          <w:p w14:paraId="41CFA009">
            <w:pPr>
              <w:pStyle w:val="164"/>
              <w:spacing w:before="40" w:after="40" w:line="240" w:lineRule="auto"/>
              <w:ind w:firstLine="0"/>
              <w:jc w:val="center"/>
            </w:pPr>
            <w:r>
              <w:rPr>
                <w:rFonts w:ascii="Arial" w:hAnsi="Arial" w:eastAsia="宋体"/>
                <w:b w:val="0"/>
                <w:sz w:val="21"/>
              </w:rPr>
              <w:t>＞0.3μm</w:t>
            </w:r>
          </w:p>
        </w:tc>
        <w:tc>
          <w:tcPr>
            <w:tcW w:w="1928" w:type="dxa"/>
            <w:vAlign w:val="center"/>
          </w:tcPr>
          <w:p w14:paraId="581FD47F">
            <w:pPr>
              <w:pStyle w:val="164"/>
              <w:spacing w:before="40" w:after="40" w:line="240" w:lineRule="auto"/>
              <w:ind w:firstLine="0"/>
              <w:jc w:val="left"/>
            </w:pPr>
            <w:r>
              <w:rPr>
                <w:rFonts w:ascii="Arial" w:hAnsi="Arial" w:eastAsia="宋体"/>
                <w:b w:val="0"/>
                <w:sz w:val="21"/>
              </w:rPr>
              <w:t>抗静电滤料+防爆设计可满足</w:t>
            </w:r>
          </w:p>
        </w:tc>
        <w:tc>
          <w:tcPr>
            <w:tcW w:w="1247" w:type="dxa"/>
            <w:vAlign w:val="center"/>
          </w:tcPr>
          <w:p w14:paraId="675A4A43">
            <w:pPr>
              <w:pStyle w:val="164"/>
              <w:spacing w:before="40" w:after="40" w:line="240" w:lineRule="auto"/>
              <w:ind w:firstLine="0"/>
              <w:jc w:val="left"/>
            </w:pPr>
            <w:r>
              <w:rPr>
                <w:rFonts w:ascii="Arial" w:hAnsi="Arial" w:eastAsia="宋体"/>
                <w:b w:val="0"/>
                <w:sz w:val="21"/>
              </w:rPr>
              <w:t>成熟稳定</w:t>
            </w:r>
          </w:p>
        </w:tc>
        <w:tc>
          <w:tcPr>
            <w:tcW w:w="1474" w:type="dxa"/>
            <w:vAlign w:val="center"/>
          </w:tcPr>
          <w:p w14:paraId="21DDE0D6">
            <w:pPr>
              <w:pStyle w:val="164"/>
              <w:spacing w:before="40" w:after="40" w:line="240" w:lineRule="auto"/>
              <w:ind w:firstLine="0"/>
              <w:jc w:val="left"/>
            </w:pPr>
            <w:r>
              <w:rPr>
                <w:rFonts w:ascii="Arial" w:hAnsi="Arial" w:eastAsia="宋体"/>
                <w:b w:val="0"/>
                <w:sz w:val="21"/>
              </w:rPr>
              <w:t>效率高、达标可靠，适用于煤尘治理</w:t>
            </w:r>
          </w:p>
        </w:tc>
      </w:tr>
    </w:tbl>
    <w:p w14:paraId="05CC9861">
      <w:r>
        <w:rPr>
          <w:rFonts w:ascii="Arial" w:hAnsi="Arial" w:eastAsia="宋体"/>
          <w:b w:val="0"/>
          <w:sz w:val="24"/>
        </w:rPr>
        <w:t>选型结论先行：袋式除尘器以≥99.9%的除尘效率、对微细颗粒物的高效捕集能力、成熟的防爆适配方案与较低的运行维护成本，成为本工程净化设备的首选工艺；其中长袋低压脉冲袋式除尘器兼具清灰能力强、设备阻力低、运行稳定、能耗低等综合优势，适配煤粉粉尘的高标准达标要求。</w:t>
      </w:r>
    </w:p>
    <w:p w14:paraId="47A9DB01">
      <w:pPr>
        <w:pStyle w:val="4"/>
      </w:pPr>
      <w:r>
        <w:rPr>
          <w:rFonts w:ascii="Arial" w:hAnsi="Arial" w:eastAsia="黑体"/>
          <w:b/>
          <w:color w:val="000000"/>
          <w:sz w:val="28"/>
        </w:rPr>
        <w:t>4.2 工艺选型结论：长袋低压脉冲布袋除尘＋高效捕集</w:t>
      </w:r>
    </w:p>
    <w:p w14:paraId="07CE99E3">
      <w:r>
        <w:rPr>
          <w:rFonts w:ascii="Arial" w:hAnsi="Arial" w:eastAsia="宋体"/>
          <w:b w:val="0"/>
          <w:sz w:val="24"/>
        </w:rPr>
        <w:t>本工程最终确定的治理工艺路线为：“尘源密闭捕集（副翼式吸风罩）＋管道输送（防爆电动风阀调控）＋长袋低压脉冲布袋除尘器净化＋离心风机引风＋烟囱达标排放”，配套压缩空气脉冲清灰系统、变频电控系统与粉尘防爆监测系统。该路线兼顾设计合理性、施工落地性与验收合规性，符合现行工业除尘设计规范与粉尘防爆安全要求。</w:t>
      </w:r>
    </w:p>
    <w:p w14:paraId="22C61FB5">
      <w:pPr>
        <w:pStyle w:val="4"/>
      </w:pPr>
      <w:r>
        <w:rPr>
          <w:rFonts w:ascii="Arial" w:hAnsi="Arial" w:eastAsia="黑体"/>
          <w:b/>
          <w:color w:val="000000"/>
          <w:sz w:val="28"/>
        </w:rPr>
        <w:t>4.3 粉尘捕集技术：副翼式吸风罩的原理与特点</w:t>
      </w:r>
    </w:p>
    <w:p w14:paraId="15D6D4A4">
      <w:r>
        <w:rPr>
          <w:rFonts w:ascii="Arial" w:hAnsi="Arial" w:eastAsia="宋体"/>
          <w:b w:val="0"/>
          <w:sz w:val="24"/>
        </w:rPr>
        <w:t>捕集效果是除尘系统达标的先决条件，本工程采用副翼式（斜装导流）吸风罩作为核心捕集部件，其结构如图1、图2所示。</w:t>
      </w:r>
    </w:p>
    <w:p w14:paraId="0E3CD505">
      <w:pPr>
        <w:keepNext/>
        <w:spacing w:before="120" w:after="0"/>
        <w:ind w:firstLine="0"/>
        <w:jc w:val="center"/>
      </w:pPr>
      <w:r>
        <w:drawing>
          <wp:inline distT="0" distB="0" distL="114300" distR="114300">
            <wp:extent cx="3419475" cy="442531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3420000" cy="4425882"/>
                    </a:xfrm>
                    <a:prstGeom prst="rect">
                      <a:avLst/>
                    </a:prstGeom>
                  </pic:spPr>
                </pic:pic>
              </a:graphicData>
            </a:graphic>
          </wp:inline>
        </w:drawing>
      </w:r>
    </w:p>
    <w:p w14:paraId="443A6B39">
      <w:pPr>
        <w:pStyle w:val="15"/>
      </w:pPr>
      <w:r>
        <w:rPr>
          <w:rFonts w:ascii="Arial" w:hAnsi="Arial" w:eastAsia="宋体"/>
          <w:b w:val="0"/>
          <w:color w:val="000000"/>
          <w:sz w:val="21"/>
        </w:rPr>
        <w:t>图1 副翼式吸风罩结构示意图</w:t>
      </w:r>
    </w:p>
    <w:p w14:paraId="5E3A9648">
      <w:pPr>
        <w:keepNext/>
        <w:spacing w:before="120" w:after="0"/>
        <w:ind w:firstLine="0"/>
        <w:jc w:val="center"/>
      </w:pPr>
      <w:r>
        <w:drawing>
          <wp:inline distT="0" distB="0" distL="114300" distR="114300">
            <wp:extent cx="4859655" cy="2728595"/>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4860000" cy="2729157"/>
                    </a:xfrm>
                    <a:prstGeom prst="rect">
                      <a:avLst/>
                    </a:prstGeom>
                  </pic:spPr>
                </pic:pic>
              </a:graphicData>
            </a:graphic>
          </wp:inline>
        </w:drawing>
      </w:r>
    </w:p>
    <w:p w14:paraId="479004B3">
      <w:pPr>
        <w:pStyle w:val="15"/>
      </w:pPr>
      <w:r>
        <w:rPr>
          <w:rFonts w:ascii="Arial" w:hAnsi="Arial" w:eastAsia="宋体"/>
          <w:b w:val="0"/>
          <w:color w:val="000000"/>
          <w:sz w:val="21"/>
        </w:rPr>
        <w:t>图2 副翼式吸风罩吸风区域示意图</w:t>
      </w:r>
    </w:p>
    <w:p w14:paraId="0893D100">
      <w:r>
        <w:rPr>
          <w:rFonts w:ascii="Arial" w:hAnsi="Arial" w:eastAsia="宋体"/>
          <w:b w:val="0"/>
          <w:sz w:val="24"/>
        </w:rPr>
        <w:t>副翼式吸风罩的技术原理体现在两方面：一是吸风罩以水平30°斜向安装，有效增大吸风罩的吸风覆盖面积，适应车间大空间、粉尘无规则运动的捕集工况；二是罩体两侧增设两个导流板，控制气流方向、减小气体通过的截面积以提高气流速度，最大限度收集粉尘，显著提升捕集效率。</w:t>
      </w:r>
    </w:p>
    <w:p w14:paraId="3813E269">
      <w:r>
        <w:rPr>
          <w:rFonts w:ascii="Arial" w:hAnsi="Arial" w:eastAsia="宋体"/>
          <w:b w:val="0"/>
          <w:sz w:val="24"/>
        </w:rPr>
        <w:t>落地细则：副翼式吸风罩按12 m×1.1 m规格配置20个，覆盖主要产尘点；对部分工况亦可采用传统上吸式吸风罩，最终捕集罩型在施工图阶段结合现场产尘点实际布置与业主意见确定。捕集设计遵循“不无限扩大吸风罩、以结构优化提升覆盖面积”的原则，在保证捕集率的同时避免对生产工序与岗位操作造成影响。</w:t>
      </w:r>
    </w:p>
    <w:p w14:paraId="0A3D12F1">
      <w:pPr>
        <w:pStyle w:val="4"/>
      </w:pPr>
      <w:r>
        <w:rPr>
          <w:rFonts w:ascii="Arial" w:hAnsi="Arial" w:eastAsia="黑体"/>
          <w:b/>
          <w:color w:val="000000"/>
          <w:sz w:val="28"/>
        </w:rPr>
        <w:t>4.4 净化设备原理：长袋低压脉冲布袋除尘器工作机制</w:t>
      </w:r>
    </w:p>
    <w:p w14:paraId="7421B7B1">
      <w:r>
        <w:rPr>
          <w:rFonts w:ascii="Arial" w:hAnsi="Arial" w:eastAsia="宋体"/>
          <w:b w:val="0"/>
          <w:sz w:val="24"/>
        </w:rPr>
        <w:t>本工程净化核心设备为长袋低压脉冲布袋除尘器，其净化机理为：含尘气流由进风口进入除尘器后，经导流均布进入滤袋过滤区域，粉尘被阻留于滤袋外表面形成粉尘层，净化后的气体穿过滤袋经净气室排出；随着滤袋表面粉尘层增厚，设备阻力上升，当达到设定值后由脉冲控制系统触发清灰，压缩空气经喷吹装置瞬间喷入滤袋内部，使滤袋产生冲击振动，剥离表面粉尘层落入灰斗，实现滤袋再生与连续运行。</w:t>
      </w:r>
    </w:p>
    <w:p w14:paraId="6FD9B77D">
      <w:r>
        <w:rPr>
          <w:rFonts w:ascii="Arial" w:hAnsi="Arial" w:eastAsia="宋体"/>
          <w:b w:val="0"/>
          <w:sz w:val="24"/>
        </w:rPr>
        <w:t>长袋低压脉冲袋式除尘器相比常规除尘设备具备五项工程优势：除尘效率高，能确保外排粉尘浓度达标及回用风要求；喷吹压力低（0.25～0.4 MPa），可提高滤袋与脉冲阀的使用寿命；清灰能力强，可提高过滤风速、降低设备造价；设备能长期稳定运行、降低维修成本；设备阻力低（≤1500 Pa），降低运行能耗。该设备已在国内多个企业成功应用，技术成熟可靠。</w:t>
      </w:r>
    </w:p>
    <w:p w14:paraId="44A7215A">
      <w:pPr>
        <w:pStyle w:val="4"/>
      </w:pPr>
      <w:r>
        <w:rPr>
          <w:rFonts w:ascii="Arial" w:hAnsi="Arial" w:eastAsia="黑体"/>
          <w:b/>
          <w:color w:val="000000"/>
          <w:sz w:val="28"/>
        </w:rPr>
        <w:t>4.5 关键参数确定：过滤风速、滤料与清灰压力</w:t>
      </w:r>
    </w:p>
    <w:p w14:paraId="272103EB">
      <w:r>
        <w:rPr>
          <w:rFonts w:ascii="Arial" w:hAnsi="Arial" w:eastAsia="宋体"/>
          <w:b w:val="0"/>
          <w:sz w:val="24"/>
        </w:rPr>
        <w:t>（1）过滤风速：过滤风速是确定除尘器结构与大小的重要参数，也是在线清灰能否取得良好效果的关键。鉴于国产滤料的性能与使用条件，本工程确定过滤风速＜1.2 m/min，设计取值1.05 m/min，兼顾设备投资与清灰效果。</w:t>
      </w:r>
    </w:p>
    <w:p w14:paraId="195E7CFC">
      <w:r>
        <w:rPr>
          <w:rFonts w:ascii="Arial" w:hAnsi="Arial" w:eastAsia="宋体"/>
          <w:b w:val="0"/>
          <w:sz w:val="24"/>
        </w:rPr>
        <w:t>（2）滤料选用：根据煤粉治理工况及防爆要求，系统内全部除尘器选用抗静电涤纶针刺毡滤料，防止静电积聚引燃煤尘，满足粉尘防爆安全要求；除尘器内部结构同步进行防爆设计。</w:t>
      </w:r>
    </w:p>
    <w:p w14:paraId="42D90294">
      <w:r>
        <w:rPr>
          <w:rFonts w:ascii="Arial" w:hAnsi="Arial" w:eastAsia="宋体"/>
          <w:b w:val="0"/>
          <w:sz w:val="24"/>
        </w:rPr>
        <w:t>（3）清灰系统：压缩空气由压气管网引入储气罐，经减压阀减压至0.4～0.6 MPa后进入除尘器喷吹装置上的稳压气包，供脉冲阀使用；每个气包进口均设球阀，便于脉冲阀检修；压气管网设压力检测装置，检测进入稳压气包的气体压力并实现低限报警；清灰耗气量按0.8 m³/min·套设计。</w:t>
      </w:r>
    </w:p>
    <w:p w14:paraId="165AC003">
      <w:r>
        <w:rPr>
          <w:rFonts w:ascii="Arial" w:hAnsi="Arial" w:eastAsia="宋体"/>
          <w:b w:val="0"/>
          <w:sz w:val="24"/>
        </w:rPr>
        <w:t>（4）防爆配置：除选用抗静电涤纶针刺毡滤料并做防爆结构设计外，建议增加防爆装置并安装粉尘监测报警装置，除尘器与风机布置于室外，进一步降低爆炸危害。</w:t>
      </w:r>
    </w:p>
    <w:p w14:paraId="3EC4092B">
      <w:pPr>
        <w:pStyle w:val="3"/>
      </w:pPr>
      <w:r>
        <w:rPr>
          <w:rFonts w:ascii="Arial" w:hAnsi="Arial" w:eastAsia="黑体"/>
          <w:b/>
          <w:color w:val="000000"/>
          <w:sz w:val="32"/>
        </w:rPr>
        <w:t>5 全流程工艺流程说明：气路、灰路与清灰系统的协同运行</w:t>
      </w:r>
    </w:p>
    <w:p w14:paraId="18A66F15">
      <w:pPr>
        <w:pStyle w:val="4"/>
      </w:pPr>
      <w:r>
        <w:rPr>
          <w:rFonts w:ascii="Arial" w:hAnsi="Arial" w:eastAsia="黑体"/>
          <w:b/>
          <w:color w:val="000000"/>
          <w:sz w:val="28"/>
        </w:rPr>
        <w:t>5.1 工艺流程总述：捕集—输送—净化—排放闭环</w:t>
      </w:r>
    </w:p>
    <w:p w14:paraId="24000B36">
      <w:r>
        <w:rPr>
          <w:rFonts w:ascii="Arial" w:hAnsi="Arial" w:eastAsia="宋体"/>
          <w:b w:val="0"/>
          <w:sz w:val="24"/>
        </w:rPr>
        <w:t>本工程全系统工艺流程如图3所示，按介质路径划分为主气路、灰路、清灰气路与电控四个子系统：</w:t>
      </w:r>
    </w:p>
    <w:p w14:paraId="67436ED5">
      <w:r>
        <w:rPr>
          <w:rFonts w:ascii="Arial" w:hAnsi="Arial" w:eastAsia="宋体"/>
          <w:b w:val="0"/>
          <w:sz w:val="24"/>
        </w:rPr>
        <w:t>主气路：各产尘点含尘气流经副翼式吸风罩捕集后，由支管（支管设防爆电动风阀）汇入主管道，进入长袋低压脉冲布袋除尘器净化，净化气流经离心通风机引风后由烟囱达标排放；</w:t>
      </w:r>
    </w:p>
    <w:p w14:paraId="2B8CD5AF">
      <w:r>
        <w:rPr>
          <w:rFonts w:ascii="Arial" w:hAnsi="Arial" w:eastAsia="宋体"/>
          <w:b w:val="0"/>
          <w:sz w:val="24"/>
        </w:rPr>
        <w:t>灰路：滤袋剥离的粉尘落入灰斗，经翻板卸灰阀定期排出并密闭转运外运，防止二次扬尘；</w:t>
      </w:r>
    </w:p>
    <w:p w14:paraId="0ADF6AA6">
      <w:r>
        <w:rPr>
          <w:rFonts w:ascii="Arial" w:hAnsi="Arial" w:eastAsia="宋体"/>
          <w:b w:val="0"/>
          <w:sz w:val="24"/>
        </w:rPr>
        <w:t>清灰气路：压缩空气经管网、储气罐、减压阀与稳压气包后由脉冲阀喷吹，实现滤袋在线清灰再生；</w:t>
      </w:r>
    </w:p>
    <w:p w14:paraId="2FAD8AB2">
      <w:r>
        <w:rPr>
          <w:rFonts w:ascii="Arial" w:hAnsi="Arial" w:eastAsia="宋体"/>
          <w:b w:val="0"/>
          <w:sz w:val="24"/>
        </w:rPr>
        <w:t>电控系统：变频启动柜控制风机变频运行，电动风阀控制系统实现各支管按需启停，粉尘监测报警装置实时监控系统运行安全。</w:t>
      </w:r>
    </w:p>
    <w:p w14:paraId="60B310B7">
      <w:pPr>
        <w:keepNext/>
        <w:spacing w:before="120" w:after="0"/>
        <w:ind w:firstLine="0"/>
        <w:jc w:val="center"/>
      </w:pPr>
      <w:r>
        <w:drawing>
          <wp:inline distT="0" distB="0" distL="114300" distR="114300">
            <wp:extent cx="5759450" cy="3253740"/>
            <wp:effectExtent l="0" t="0" r="317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760000" cy="3254040"/>
                    </a:xfrm>
                    <a:prstGeom prst="rect">
                      <a:avLst/>
                    </a:prstGeom>
                  </pic:spPr>
                </pic:pic>
              </a:graphicData>
            </a:graphic>
          </wp:inline>
        </w:drawing>
      </w:r>
    </w:p>
    <w:p w14:paraId="042778A1">
      <w:pPr>
        <w:pStyle w:val="15"/>
      </w:pPr>
      <w:r>
        <w:rPr>
          <w:rFonts w:ascii="Arial" w:hAnsi="Arial" w:eastAsia="宋体"/>
          <w:b w:val="0"/>
          <w:color w:val="000000"/>
          <w:sz w:val="21"/>
        </w:rPr>
        <w:t>图3 除尘系统工艺流程示意图（示意）</w:t>
      </w:r>
    </w:p>
    <w:p w14:paraId="2740BCD7">
      <w:pPr>
        <w:pStyle w:val="4"/>
      </w:pPr>
      <w:r>
        <w:rPr>
          <w:rFonts w:ascii="Arial" w:hAnsi="Arial" w:eastAsia="黑体"/>
          <w:b/>
          <w:color w:val="000000"/>
          <w:sz w:val="28"/>
        </w:rPr>
        <w:t>5.2 各环节设计说明：从尘源捕集到达标排放</w:t>
      </w:r>
    </w:p>
    <w:p w14:paraId="23034BCD">
      <w:r>
        <w:rPr>
          <w:rFonts w:ascii="Arial" w:hAnsi="Arial" w:eastAsia="宋体"/>
          <w:b w:val="0"/>
          <w:sz w:val="24"/>
        </w:rPr>
        <w:t>（1）捕集环节：针对车间面积大、楼层高、粉尘无规则运动的特点，通过副翼式吸风罩水平30°斜装增大吸风口覆盖面积，以最优气流组织提升捕集率；在每条支管上安装防爆电动风阀，可手动或遥控控制开关状态，实现不同时运转尘源点的按需捕集，避免无效抽风。</w:t>
      </w:r>
    </w:p>
    <w:p w14:paraId="4A1828E6">
      <w:r>
        <w:rPr>
          <w:rFonts w:ascii="Arial" w:hAnsi="Arial" w:eastAsia="宋体"/>
          <w:b w:val="0"/>
          <w:sz w:val="24"/>
        </w:rPr>
        <w:t>（2）管道输送环节：各尘源点含尘气流经支管汇入主管道，管道风速按GB 50019-2015及HJ 2020-2012要求设计取值（一般不低于14 m/s），防止粉尘在管内沉积；系统按就近集中原则分区设置，管道布置兼顾阻力平衡与检修便利。</w:t>
      </w:r>
    </w:p>
    <w:p w14:paraId="41D72DBF">
      <w:r>
        <w:rPr>
          <w:rFonts w:ascii="Arial" w:hAnsi="Arial" w:eastAsia="宋体"/>
          <w:b w:val="0"/>
          <w:sz w:val="24"/>
        </w:rPr>
        <w:t>（3）净化环节：长袋低压脉冲布袋除尘器完成粉尘分离与净化，滤袋表面粉尘层经脉冲清灰剥离落入灰斗，设备出口颗粒物浓度≤20 mg/Nm³。</w:t>
      </w:r>
    </w:p>
    <w:p w14:paraId="3CDAE4B8">
      <w:r>
        <w:rPr>
          <w:rFonts w:ascii="Arial" w:hAnsi="Arial" w:eastAsia="宋体"/>
          <w:b w:val="0"/>
          <w:sz w:val="24"/>
        </w:rPr>
        <w:t>（4）引风排放环节：离心通风机提供系统动力，风机进出口设软连接与减振措施；净化气流经烟囱（DN1200，高15 m）排放，烟囱顶部设避雷针，排放口按规范化要求设置采样平台与采样孔，满足验收监测需要。</w:t>
      </w:r>
    </w:p>
    <w:p w14:paraId="573D4607">
      <w:pPr>
        <w:keepNext/>
        <w:spacing w:before="120" w:after="0"/>
        <w:ind w:firstLine="0"/>
        <w:jc w:val="center"/>
      </w:pPr>
      <w:r>
        <w:drawing>
          <wp:inline distT="0" distB="0" distL="114300" distR="114300">
            <wp:extent cx="4319905" cy="5399405"/>
            <wp:effectExtent l="0" t="0" r="444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4320000" cy="5400000"/>
                    </a:xfrm>
                    <a:prstGeom prst="rect">
                      <a:avLst/>
                    </a:prstGeom>
                  </pic:spPr>
                </pic:pic>
              </a:graphicData>
            </a:graphic>
          </wp:inline>
        </w:drawing>
      </w:r>
    </w:p>
    <w:p w14:paraId="50C8C91C">
      <w:pPr>
        <w:pStyle w:val="15"/>
      </w:pPr>
      <w:r>
        <w:rPr>
          <w:rFonts w:ascii="Arial" w:hAnsi="Arial" w:eastAsia="宋体"/>
          <w:b w:val="0"/>
          <w:color w:val="000000"/>
          <w:sz w:val="21"/>
        </w:rPr>
        <w:t>图4 除尘系统平面布置示意图（原方案示意）</w:t>
      </w:r>
    </w:p>
    <w:p w14:paraId="69E2B77B">
      <w:pPr>
        <w:pStyle w:val="4"/>
      </w:pPr>
      <w:r>
        <w:rPr>
          <w:rFonts w:ascii="Arial" w:hAnsi="Arial" w:eastAsia="黑体"/>
          <w:b/>
          <w:color w:val="000000"/>
          <w:sz w:val="28"/>
        </w:rPr>
        <w:t>5.3 风量平衡与系统划分：阻力平衡与节能运行</w:t>
      </w:r>
    </w:p>
    <w:p w14:paraId="7F20A235">
      <w:r>
        <w:rPr>
          <w:rFonts w:ascii="Arial" w:hAnsi="Arial" w:eastAsia="宋体"/>
          <w:b w:val="0"/>
          <w:sz w:val="24"/>
        </w:rPr>
        <w:t>系统风量平衡是保证各尘源点捕集效果的关键。本工程单套系统设计风量50000 m³/h，过滤面积789 m²，校核过滤风速1.05 m/min；各支管设防爆电动风阀调节开度，实现支路阻力平衡；风机采用变频启动，根据系统实际运行阻力自动调节转速与风量，在满足捕集需求的前提下最大限度降低运行能耗。</w:t>
      </w:r>
    </w:p>
    <w:p w14:paraId="3C6CA403">
      <w:r>
        <w:rPr>
          <w:rFonts w:ascii="Arial" w:hAnsi="Arial" w:eastAsia="宋体"/>
          <w:b w:val="0"/>
          <w:sz w:val="24"/>
        </w:rPr>
        <w:t>系统划分综合“就近集中”与“同时运行”原则：将集中且同时扬尘的尘源点并入同一系统，将间断、不同时运转的尘源点通过电动风阀分时控制，既保证系统阻力平衡，又减少除尘系统数量与运行能耗，便于维护管理。</w:t>
      </w:r>
    </w:p>
    <w:p w14:paraId="43554450">
      <w:pPr>
        <w:pStyle w:val="4"/>
      </w:pPr>
      <w:r>
        <w:rPr>
          <w:rFonts w:ascii="Arial" w:hAnsi="Arial" w:eastAsia="黑体"/>
          <w:b/>
          <w:color w:val="000000"/>
          <w:sz w:val="28"/>
        </w:rPr>
        <w:t>5.4 防爆设计要点：可燃煤尘的全程防爆措施</w:t>
      </w:r>
    </w:p>
    <w:p w14:paraId="4760CF6C">
      <w:r>
        <w:rPr>
          <w:rFonts w:ascii="Arial" w:hAnsi="Arial" w:eastAsia="宋体"/>
          <w:b w:val="0"/>
          <w:sz w:val="24"/>
        </w:rPr>
        <w:t>针对煤尘可燃、易爆特性，本工程在设计、设备选型与运行管理三个层面落实防爆要求：设计层面按GB 15577-2018分区设置相对独立的除尘系统，系统不与可燃气体、高温气体管道连通；设备层面选用抗静电涤纶针刺毡滤料、防爆结构设计、防爆电动风阀，除尘器与风机布置于室外并设泄爆与监测措施；运行层面安装粉尘监测报警装置，对系统内粉尘浓度超限实时报警，并对煤尘进行物化性质测定，从源头消除爆炸与自燃隐患。</w:t>
      </w:r>
    </w:p>
    <w:p w14:paraId="31D42D8A">
      <w:pPr>
        <w:pStyle w:val="3"/>
      </w:pPr>
      <w:r>
        <w:rPr>
          <w:rFonts w:ascii="Arial" w:hAnsi="Arial" w:eastAsia="黑体"/>
          <w:b/>
          <w:color w:val="000000"/>
          <w:sz w:val="32"/>
        </w:rPr>
        <w:t>6 核心设备参数及配置清单：成套设备技术规格</w:t>
      </w:r>
    </w:p>
    <w:p w14:paraId="2F89F930">
      <w:pPr>
        <w:pStyle w:val="4"/>
      </w:pPr>
      <w:r>
        <w:rPr>
          <w:rFonts w:ascii="Arial" w:hAnsi="Arial" w:eastAsia="黑体"/>
          <w:b/>
          <w:color w:val="000000"/>
          <w:sz w:val="28"/>
        </w:rPr>
        <w:t>6.1 长袋低压脉冲布袋除尘器技术参数</w:t>
      </w:r>
    </w:p>
    <w:p w14:paraId="14581C00">
      <w:pPr>
        <w:pStyle w:val="15"/>
      </w:pPr>
      <w:r>
        <w:rPr>
          <w:rFonts w:ascii="Arial" w:hAnsi="Arial" w:eastAsia="宋体"/>
          <w:b w:val="0"/>
          <w:color w:val="000000"/>
          <w:sz w:val="21"/>
        </w:rPr>
        <w:t>表4 长袋低压脉冲布袋除尘器主要技术参数（单套）</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6CF8C15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80" w:type="dxa"/>
            <w:shd w:val="clear" w:color="auto" w:fill="D9D9D9"/>
            <w:vAlign w:val="center"/>
          </w:tcPr>
          <w:p w14:paraId="65DD9B2A">
            <w:pPr>
              <w:pStyle w:val="164"/>
              <w:spacing w:before="40" w:after="40" w:line="240" w:lineRule="auto"/>
              <w:ind w:firstLine="0"/>
              <w:jc w:val="center"/>
            </w:pPr>
            <w:r>
              <w:rPr>
                <w:rFonts w:ascii="Arial" w:hAnsi="Arial" w:eastAsia="宋体"/>
                <w:b/>
                <w:sz w:val="21"/>
              </w:rPr>
              <w:t>序号</w:t>
            </w:r>
          </w:p>
        </w:tc>
        <w:tc>
          <w:tcPr>
            <w:tcW w:w="2608" w:type="dxa"/>
            <w:shd w:val="clear" w:color="auto" w:fill="D9D9D9"/>
            <w:vAlign w:val="center"/>
          </w:tcPr>
          <w:p w14:paraId="6041960E">
            <w:pPr>
              <w:pStyle w:val="164"/>
              <w:spacing w:before="40" w:after="40" w:line="240" w:lineRule="auto"/>
              <w:ind w:firstLine="0"/>
              <w:jc w:val="center"/>
            </w:pPr>
            <w:r>
              <w:rPr>
                <w:rFonts w:ascii="Arial" w:hAnsi="Arial" w:eastAsia="宋体"/>
                <w:b/>
                <w:sz w:val="21"/>
              </w:rPr>
              <w:t>参数名称</w:t>
            </w:r>
          </w:p>
        </w:tc>
        <w:tc>
          <w:tcPr>
            <w:tcW w:w="1361" w:type="dxa"/>
            <w:shd w:val="clear" w:color="auto" w:fill="D9D9D9"/>
            <w:vAlign w:val="center"/>
          </w:tcPr>
          <w:p w14:paraId="36D0B1F7">
            <w:pPr>
              <w:pStyle w:val="164"/>
              <w:spacing w:before="40" w:after="40" w:line="240" w:lineRule="auto"/>
              <w:ind w:firstLine="0"/>
              <w:jc w:val="center"/>
            </w:pPr>
            <w:r>
              <w:rPr>
                <w:rFonts w:ascii="Arial" w:hAnsi="Arial" w:eastAsia="宋体"/>
                <w:b/>
                <w:sz w:val="21"/>
              </w:rPr>
              <w:t>单位</w:t>
            </w:r>
          </w:p>
        </w:tc>
        <w:tc>
          <w:tcPr>
            <w:tcW w:w="4422" w:type="dxa"/>
            <w:shd w:val="clear" w:color="auto" w:fill="D9D9D9"/>
            <w:vAlign w:val="center"/>
          </w:tcPr>
          <w:p w14:paraId="4C2BC699">
            <w:pPr>
              <w:pStyle w:val="164"/>
              <w:spacing w:before="40" w:after="40" w:line="240" w:lineRule="auto"/>
              <w:ind w:firstLine="0"/>
              <w:jc w:val="center"/>
            </w:pPr>
            <w:r>
              <w:rPr>
                <w:rFonts w:ascii="Arial" w:hAnsi="Arial" w:eastAsia="宋体"/>
                <w:b/>
                <w:sz w:val="21"/>
              </w:rPr>
              <w:t>参数值</w:t>
            </w:r>
          </w:p>
        </w:tc>
      </w:tr>
      <w:tr w14:paraId="7C68F3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1EC2322E">
            <w:pPr>
              <w:pStyle w:val="164"/>
              <w:spacing w:before="40" w:after="40" w:line="240" w:lineRule="auto"/>
              <w:ind w:firstLine="0"/>
              <w:jc w:val="center"/>
            </w:pPr>
            <w:r>
              <w:rPr>
                <w:rFonts w:ascii="Arial" w:hAnsi="Arial" w:eastAsia="宋体"/>
                <w:b w:val="0"/>
                <w:sz w:val="21"/>
              </w:rPr>
              <w:t>1</w:t>
            </w:r>
          </w:p>
        </w:tc>
        <w:tc>
          <w:tcPr>
            <w:tcW w:w="2608" w:type="dxa"/>
            <w:vAlign w:val="center"/>
          </w:tcPr>
          <w:p w14:paraId="6DDF9782">
            <w:pPr>
              <w:pStyle w:val="164"/>
              <w:spacing w:before="40" w:after="40" w:line="240" w:lineRule="auto"/>
              <w:ind w:firstLine="0"/>
              <w:jc w:val="left"/>
            </w:pPr>
            <w:r>
              <w:rPr>
                <w:rFonts w:ascii="Arial" w:hAnsi="Arial" w:eastAsia="宋体"/>
                <w:b w:val="0"/>
                <w:sz w:val="21"/>
              </w:rPr>
              <w:t>设备型号</w:t>
            </w:r>
          </w:p>
        </w:tc>
        <w:tc>
          <w:tcPr>
            <w:tcW w:w="1361" w:type="dxa"/>
            <w:vAlign w:val="center"/>
          </w:tcPr>
          <w:p w14:paraId="37D1EA68">
            <w:pPr>
              <w:pStyle w:val="164"/>
              <w:spacing w:before="40" w:after="40" w:line="240" w:lineRule="auto"/>
              <w:ind w:firstLine="0"/>
              <w:jc w:val="center"/>
            </w:pPr>
            <w:r>
              <w:rPr>
                <w:rFonts w:ascii="Arial" w:hAnsi="Arial" w:eastAsia="宋体"/>
                <w:b w:val="0"/>
                <w:sz w:val="21"/>
              </w:rPr>
              <w:t>—</w:t>
            </w:r>
          </w:p>
        </w:tc>
        <w:tc>
          <w:tcPr>
            <w:tcW w:w="4422" w:type="dxa"/>
            <w:vAlign w:val="center"/>
          </w:tcPr>
          <w:p w14:paraId="3770B564">
            <w:pPr>
              <w:pStyle w:val="164"/>
              <w:spacing w:before="40" w:after="40" w:line="240" w:lineRule="auto"/>
              <w:ind w:firstLine="0"/>
              <w:jc w:val="left"/>
            </w:pPr>
            <w:r>
              <w:rPr>
                <w:rFonts w:ascii="Arial" w:hAnsi="Arial" w:eastAsia="宋体"/>
                <w:b w:val="0"/>
                <w:sz w:val="21"/>
              </w:rPr>
              <w:t>DMC-800型</w:t>
            </w:r>
          </w:p>
        </w:tc>
      </w:tr>
      <w:tr w14:paraId="1B5AA22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A895772">
            <w:pPr>
              <w:pStyle w:val="164"/>
              <w:spacing w:before="40" w:after="40" w:line="240" w:lineRule="auto"/>
              <w:ind w:firstLine="0"/>
              <w:jc w:val="center"/>
            </w:pPr>
            <w:r>
              <w:rPr>
                <w:rFonts w:ascii="Arial" w:hAnsi="Arial" w:eastAsia="宋体"/>
                <w:b w:val="0"/>
                <w:sz w:val="21"/>
              </w:rPr>
              <w:t>2</w:t>
            </w:r>
          </w:p>
        </w:tc>
        <w:tc>
          <w:tcPr>
            <w:tcW w:w="2608" w:type="dxa"/>
            <w:vAlign w:val="center"/>
          </w:tcPr>
          <w:p w14:paraId="449E8FE4">
            <w:pPr>
              <w:pStyle w:val="164"/>
              <w:spacing w:before="40" w:after="40" w:line="240" w:lineRule="auto"/>
              <w:ind w:firstLine="0"/>
              <w:jc w:val="left"/>
            </w:pPr>
            <w:r>
              <w:rPr>
                <w:rFonts w:ascii="Arial" w:hAnsi="Arial" w:eastAsia="宋体"/>
                <w:b w:val="0"/>
                <w:sz w:val="21"/>
              </w:rPr>
              <w:t>处理风量</w:t>
            </w:r>
          </w:p>
        </w:tc>
        <w:tc>
          <w:tcPr>
            <w:tcW w:w="1361" w:type="dxa"/>
            <w:vAlign w:val="center"/>
          </w:tcPr>
          <w:p w14:paraId="57802CCE">
            <w:pPr>
              <w:pStyle w:val="164"/>
              <w:spacing w:before="40" w:after="40" w:line="240" w:lineRule="auto"/>
              <w:ind w:firstLine="0"/>
              <w:jc w:val="center"/>
            </w:pPr>
            <w:r>
              <w:rPr>
                <w:rFonts w:ascii="Arial" w:hAnsi="Arial" w:eastAsia="宋体"/>
                <w:b w:val="0"/>
                <w:sz w:val="21"/>
              </w:rPr>
              <w:t>m³/h</w:t>
            </w:r>
          </w:p>
        </w:tc>
        <w:tc>
          <w:tcPr>
            <w:tcW w:w="4422" w:type="dxa"/>
            <w:vAlign w:val="center"/>
          </w:tcPr>
          <w:p w14:paraId="13BF0EB7">
            <w:pPr>
              <w:pStyle w:val="164"/>
              <w:spacing w:before="40" w:after="40" w:line="240" w:lineRule="auto"/>
              <w:ind w:firstLine="0"/>
              <w:jc w:val="left"/>
            </w:pPr>
            <w:r>
              <w:rPr>
                <w:rFonts w:ascii="Arial" w:hAnsi="Arial" w:eastAsia="宋体"/>
                <w:b w:val="0"/>
                <w:sz w:val="21"/>
              </w:rPr>
              <w:t>50000</w:t>
            </w:r>
          </w:p>
        </w:tc>
      </w:tr>
      <w:tr w14:paraId="683AABC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391E4C64">
            <w:pPr>
              <w:pStyle w:val="164"/>
              <w:spacing w:before="40" w:after="40" w:line="240" w:lineRule="auto"/>
              <w:ind w:firstLine="0"/>
              <w:jc w:val="center"/>
            </w:pPr>
            <w:r>
              <w:rPr>
                <w:rFonts w:ascii="Arial" w:hAnsi="Arial" w:eastAsia="宋体"/>
                <w:b w:val="0"/>
                <w:sz w:val="21"/>
              </w:rPr>
              <w:t>3</w:t>
            </w:r>
          </w:p>
        </w:tc>
        <w:tc>
          <w:tcPr>
            <w:tcW w:w="2608" w:type="dxa"/>
            <w:vAlign w:val="center"/>
          </w:tcPr>
          <w:p w14:paraId="0C26DBAF">
            <w:pPr>
              <w:pStyle w:val="164"/>
              <w:spacing w:before="40" w:after="40" w:line="240" w:lineRule="auto"/>
              <w:ind w:firstLine="0"/>
              <w:jc w:val="left"/>
            </w:pPr>
            <w:r>
              <w:rPr>
                <w:rFonts w:ascii="Arial" w:hAnsi="Arial" w:eastAsia="宋体"/>
                <w:b w:val="0"/>
                <w:sz w:val="21"/>
              </w:rPr>
              <w:t>过滤风速</w:t>
            </w:r>
          </w:p>
        </w:tc>
        <w:tc>
          <w:tcPr>
            <w:tcW w:w="1361" w:type="dxa"/>
            <w:vAlign w:val="center"/>
          </w:tcPr>
          <w:p w14:paraId="747E4FDE">
            <w:pPr>
              <w:pStyle w:val="164"/>
              <w:spacing w:before="40" w:after="40" w:line="240" w:lineRule="auto"/>
              <w:ind w:firstLine="0"/>
              <w:jc w:val="center"/>
            </w:pPr>
            <w:r>
              <w:rPr>
                <w:rFonts w:ascii="Arial" w:hAnsi="Arial" w:eastAsia="宋体"/>
                <w:b w:val="0"/>
                <w:sz w:val="21"/>
              </w:rPr>
              <w:t>m/min</w:t>
            </w:r>
          </w:p>
        </w:tc>
        <w:tc>
          <w:tcPr>
            <w:tcW w:w="4422" w:type="dxa"/>
            <w:vAlign w:val="center"/>
          </w:tcPr>
          <w:p w14:paraId="4A52104C">
            <w:pPr>
              <w:pStyle w:val="164"/>
              <w:spacing w:before="40" w:after="40" w:line="240" w:lineRule="auto"/>
              <w:ind w:firstLine="0"/>
              <w:jc w:val="left"/>
            </w:pPr>
            <w:r>
              <w:rPr>
                <w:rFonts w:ascii="Arial" w:hAnsi="Arial" w:eastAsia="宋体"/>
                <w:b w:val="0"/>
                <w:sz w:val="21"/>
              </w:rPr>
              <w:t>1.05</w:t>
            </w:r>
          </w:p>
        </w:tc>
      </w:tr>
      <w:tr w14:paraId="728FF98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C802963">
            <w:pPr>
              <w:pStyle w:val="164"/>
              <w:spacing w:before="40" w:after="40" w:line="240" w:lineRule="auto"/>
              <w:ind w:firstLine="0"/>
              <w:jc w:val="center"/>
            </w:pPr>
            <w:r>
              <w:rPr>
                <w:rFonts w:ascii="Arial" w:hAnsi="Arial" w:eastAsia="宋体"/>
                <w:b w:val="0"/>
                <w:sz w:val="21"/>
              </w:rPr>
              <w:t>4</w:t>
            </w:r>
          </w:p>
        </w:tc>
        <w:tc>
          <w:tcPr>
            <w:tcW w:w="2608" w:type="dxa"/>
            <w:vAlign w:val="center"/>
          </w:tcPr>
          <w:p w14:paraId="6EE43AB1">
            <w:pPr>
              <w:pStyle w:val="164"/>
              <w:spacing w:before="40" w:after="40" w:line="240" w:lineRule="auto"/>
              <w:ind w:firstLine="0"/>
              <w:jc w:val="left"/>
            </w:pPr>
            <w:r>
              <w:rPr>
                <w:rFonts w:ascii="Arial" w:hAnsi="Arial" w:eastAsia="宋体"/>
                <w:b w:val="0"/>
                <w:sz w:val="21"/>
              </w:rPr>
              <w:t>总过滤面积</w:t>
            </w:r>
          </w:p>
        </w:tc>
        <w:tc>
          <w:tcPr>
            <w:tcW w:w="1361" w:type="dxa"/>
            <w:vAlign w:val="center"/>
          </w:tcPr>
          <w:p w14:paraId="702DE9C3">
            <w:pPr>
              <w:pStyle w:val="164"/>
              <w:spacing w:before="40" w:after="40" w:line="240" w:lineRule="auto"/>
              <w:ind w:firstLine="0"/>
              <w:jc w:val="center"/>
            </w:pPr>
            <w:r>
              <w:rPr>
                <w:rFonts w:ascii="Arial" w:hAnsi="Arial" w:eastAsia="宋体"/>
                <w:b w:val="0"/>
                <w:sz w:val="21"/>
              </w:rPr>
              <w:t>m²</w:t>
            </w:r>
          </w:p>
        </w:tc>
        <w:tc>
          <w:tcPr>
            <w:tcW w:w="4422" w:type="dxa"/>
            <w:vAlign w:val="center"/>
          </w:tcPr>
          <w:p w14:paraId="44DD1506">
            <w:pPr>
              <w:pStyle w:val="164"/>
              <w:spacing w:before="40" w:after="40" w:line="240" w:lineRule="auto"/>
              <w:ind w:firstLine="0"/>
              <w:jc w:val="left"/>
            </w:pPr>
            <w:r>
              <w:rPr>
                <w:rFonts w:ascii="Arial" w:hAnsi="Arial" w:eastAsia="宋体"/>
                <w:b w:val="0"/>
                <w:sz w:val="21"/>
              </w:rPr>
              <w:t>789</w:t>
            </w:r>
          </w:p>
        </w:tc>
      </w:tr>
      <w:tr w14:paraId="3E584AB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149DF3B">
            <w:pPr>
              <w:pStyle w:val="164"/>
              <w:spacing w:before="40" w:after="40" w:line="240" w:lineRule="auto"/>
              <w:ind w:firstLine="0"/>
              <w:jc w:val="center"/>
            </w:pPr>
            <w:r>
              <w:rPr>
                <w:rFonts w:ascii="Arial" w:hAnsi="Arial" w:eastAsia="宋体"/>
                <w:b w:val="0"/>
                <w:sz w:val="21"/>
              </w:rPr>
              <w:t>5</w:t>
            </w:r>
          </w:p>
        </w:tc>
        <w:tc>
          <w:tcPr>
            <w:tcW w:w="2608" w:type="dxa"/>
            <w:vAlign w:val="center"/>
          </w:tcPr>
          <w:p w14:paraId="7465B73E">
            <w:pPr>
              <w:pStyle w:val="164"/>
              <w:spacing w:before="40" w:after="40" w:line="240" w:lineRule="auto"/>
              <w:ind w:firstLine="0"/>
              <w:jc w:val="left"/>
            </w:pPr>
            <w:r>
              <w:rPr>
                <w:rFonts w:ascii="Arial" w:hAnsi="Arial" w:eastAsia="宋体"/>
                <w:b w:val="0"/>
                <w:sz w:val="21"/>
              </w:rPr>
              <w:t>设备阻力</w:t>
            </w:r>
          </w:p>
        </w:tc>
        <w:tc>
          <w:tcPr>
            <w:tcW w:w="1361" w:type="dxa"/>
            <w:vAlign w:val="center"/>
          </w:tcPr>
          <w:p w14:paraId="526DA9AF">
            <w:pPr>
              <w:pStyle w:val="164"/>
              <w:spacing w:before="40" w:after="40" w:line="240" w:lineRule="auto"/>
              <w:ind w:firstLine="0"/>
              <w:jc w:val="center"/>
            </w:pPr>
            <w:r>
              <w:rPr>
                <w:rFonts w:ascii="Arial" w:hAnsi="Arial" w:eastAsia="宋体"/>
                <w:b w:val="0"/>
                <w:sz w:val="21"/>
              </w:rPr>
              <w:t>Pa</w:t>
            </w:r>
          </w:p>
        </w:tc>
        <w:tc>
          <w:tcPr>
            <w:tcW w:w="4422" w:type="dxa"/>
            <w:vAlign w:val="center"/>
          </w:tcPr>
          <w:p w14:paraId="546F51D8">
            <w:pPr>
              <w:pStyle w:val="164"/>
              <w:spacing w:before="40" w:after="40" w:line="240" w:lineRule="auto"/>
              <w:ind w:firstLine="0"/>
              <w:jc w:val="left"/>
            </w:pPr>
            <w:r>
              <w:rPr>
                <w:rFonts w:ascii="Arial" w:hAnsi="Arial" w:eastAsia="宋体"/>
                <w:b w:val="0"/>
                <w:sz w:val="21"/>
              </w:rPr>
              <w:t>1450～1730（清灰后恢复值≤1500）</w:t>
            </w:r>
          </w:p>
        </w:tc>
      </w:tr>
      <w:tr w14:paraId="4713E64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7EC44F5D">
            <w:pPr>
              <w:pStyle w:val="164"/>
              <w:spacing w:before="40" w:after="40" w:line="240" w:lineRule="auto"/>
              <w:ind w:firstLine="0"/>
              <w:jc w:val="center"/>
            </w:pPr>
            <w:r>
              <w:rPr>
                <w:rFonts w:ascii="Arial" w:hAnsi="Arial" w:eastAsia="宋体"/>
                <w:b w:val="0"/>
                <w:sz w:val="21"/>
              </w:rPr>
              <w:t>6</w:t>
            </w:r>
          </w:p>
        </w:tc>
        <w:tc>
          <w:tcPr>
            <w:tcW w:w="2608" w:type="dxa"/>
            <w:vAlign w:val="center"/>
          </w:tcPr>
          <w:p w14:paraId="3A32B456">
            <w:pPr>
              <w:pStyle w:val="164"/>
              <w:spacing w:before="40" w:after="40" w:line="240" w:lineRule="auto"/>
              <w:ind w:firstLine="0"/>
              <w:jc w:val="left"/>
            </w:pPr>
            <w:r>
              <w:rPr>
                <w:rFonts w:ascii="Arial" w:hAnsi="Arial" w:eastAsia="宋体"/>
                <w:b w:val="0"/>
                <w:sz w:val="21"/>
              </w:rPr>
              <w:t>出口气体含尘浓度</w:t>
            </w:r>
          </w:p>
        </w:tc>
        <w:tc>
          <w:tcPr>
            <w:tcW w:w="1361" w:type="dxa"/>
            <w:vAlign w:val="center"/>
          </w:tcPr>
          <w:p w14:paraId="357FDE60">
            <w:pPr>
              <w:pStyle w:val="164"/>
              <w:spacing w:before="40" w:after="40" w:line="240" w:lineRule="auto"/>
              <w:ind w:firstLine="0"/>
              <w:jc w:val="center"/>
            </w:pPr>
            <w:r>
              <w:rPr>
                <w:rFonts w:ascii="Arial" w:hAnsi="Arial" w:eastAsia="宋体"/>
                <w:b w:val="0"/>
                <w:sz w:val="21"/>
              </w:rPr>
              <w:t>mg/Nm³</w:t>
            </w:r>
          </w:p>
        </w:tc>
        <w:tc>
          <w:tcPr>
            <w:tcW w:w="4422" w:type="dxa"/>
            <w:vAlign w:val="center"/>
          </w:tcPr>
          <w:p w14:paraId="209734D0">
            <w:pPr>
              <w:pStyle w:val="164"/>
              <w:spacing w:before="40" w:after="40" w:line="240" w:lineRule="auto"/>
              <w:ind w:firstLine="0"/>
              <w:jc w:val="left"/>
            </w:pPr>
            <w:r>
              <w:rPr>
                <w:rFonts w:ascii="Arial" w:hAnsi="Arial" w:eastAsia="宋体"/>
                <w:b w:val="0"/>
                <w:sz w:val="21"/>
              </w:rPr>
              <w:t>≤20</w:t>
            </w:r>
          </w:p>
        </w:tc>
      </w:tr>
      <w:tr w14:paraId="7747FF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3238E537">
            <w:pPr>
              <w:pStyle w:val="164"/>
              <w:spacing w:before="40" w:after="40" w:line="240" w:lineRule="auto"/>
              <w:ind w:firstLine="0"/>
              <w:jc w:val="center"/>
            </w:pPr>
            <w:r>
              <w:rPr>
                <w:rFonts w:ascii="Arial" w:hAnsi="Arial" w:eastAsia="宋体"/>
                <w:b w:val="0"/>
                <w:sz w:val="21"/>
              </w:rPr>
              <w:t>7</w:t>
            </w:r>
          </w:p>
        </w:tc>
        <w:tc>
          <w:tcPr>
            <w:tcW w:w="2608" w:type="dxa"/>
            <w:vAlign w:val="center"/>
          </w:tcPr>
          <w:p w14:paraId="0DC2BF9A">
            <w:pPr>
              <w:pStyle w:val="164"/>
              <w:spacing w:before="40" w:after="40" w:line="240" w:lineRule="auto"/>
              <w:ind w:firstLine="0"/>
              <w:jc w:val="left"/>
            </w:pPr>
            <w:r>
              <w:rPr>
                <w:rFonts w:ascii="Arial" w:hAnsi="Arial" w:eastAsia="宋体"/>
                <w:b w:val="0"/>
                <w:sz w:val="21"/>
              </w:rPr>
              <w:t>滤袋类型及数量</w:t>
            </w:r>
          </w:p>
        </w:tc>
        <w:tc>
          <w:tcPr>
            <w:tcW w:w="1361" w:type="dxa"/>
            <w:vAlign w:val="center"/>
          </w:tcPr>
          <w:p w14:paraId="721DC5A2">
            <w:pPr>
              <w:pStyle w:val="164"/>
              <w:spacing w:before="40" w:after="40" w:line="240" w:lineRule="auto"/>
              <w:ind w:firstLine="0"/>
              <w:jc w:val="center"/>
            </w:pPr>
            <w:r>
              <w:rPr>
                <w:rFonts w:ascii="Arial" w:hAnsi="Arial" w:eastAsia="宋体"/>
                <w:b w:val="0"/>
                <w:sz w:val="21"/>
              </w:rPr>
              <w:t>条</w:t>
            </w:r>
          </w:p>
        </w:tc>
        <w:tc>
          <w:tcPr>
            <w:tcW w:w="4422" w:type="dxa"/>
            <w:vAlign w:val="center"/>
          </w:tcPr>
          <w:p w14:paraId="1C5A7855">
            <w:pPr>
              <w:pStyle w:val="164"/>
              <w:spacing w:before="40" w:after="40" w:line="240" w:lineRule="auto"/>
              <w:ind w:firstLine="0"/>
              <w:jc w:val="left"/>
            </w:pPr>
            <w:r>
              <w:rPr>
                <w:rFonts w:ascii="Arial" w:hAnsi="Arial" w:eastAsia="宋体"/>
                <w:b w:val="0"/>
                <w:sz w:val="21"/>
              </w:rPr>
              <w:t>抗静电涤纶针刺毡，540条</w:t>
            </w:r>
          </w:p>
        </w:tc>
      </w:tr>
      <w:tr w14:paraId="6B19090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BF75133">
            <w:pPr>
              <w:pStyle w:val="164"/>
              <w:spacing w:before="40" w:after="40" w:line="240" w:lineRule="auto"/>
              <w:ind w:firstLine="0"/>
              <w:jc w:val="center"/>
            </w:pPr>
            <w:r>
              <w:rPr>
                <w:rFonts w:ascii="Arial" w:hAnsi="Arial" w:eastAsia="宋体"/>
                <w:b w:val="0"/>
                <w:sz w:val="21"/>
              </w:rPr>
              <w:t>8</w:t>
            </w:r>
          </w:p>
        </w:tc>
        <w:tc>
          <w:tcPr>
            <w:tcW w:w="2608" w:type="dxa"/>
            <w:vAlign w:val="center"/>
          </w:tcPr>
          <w:p w14:paraId="0259E4E3">
            <w:pPr>
              <w:pStyle w:val="164"/>
              <w:spacing w:before="40" w:after="40" w:line="240" w:lineRule="auto"/>
              <w:ind w:firstLine="0"/>
              <w:jc w:val="left"/>
            </w:pPr>
            <w:r>
              <w:rPr>
                <w:rFonts w:ascii="Arial" w:hAnsi="Arial" w:eastAsia="宋体"/>
                <w:b w:val="0"/>
                <w:sz w:val="21"/>
              </w:rPr>
              <w:t>滤袋规格</w:t>
            </w:r>
          </w:p>
        </w:tc>
        <w:tc>
          <w:tcPr>
            <w:tcW w:w="1361" w:type="dxa"/>
            <w:vAlign w:val="center"/>
          </w:tcPr>
          <w:p w14:paraId="143F0EA6">
            <w:pPr>
              <w:pStyle w:val="164"/>
              <w:spacing w:before="40" w:after="40" w:line="240" w:lineRule="auto"/>
              <w:ind w:firstLine="0"/>
              <w:jc w:val="center"/>
            </w:pPr>
            <w:r>
              <w:rPr>
                <w:rFonts w:ascii="Arial" w:hAnsi="Arial" w:eastAsia="宋体"/>
                <w:b w:val="0"/>
                <w:sz w:val="21"/>
              </w:rPr>
              <w:t>mm</w:t>
            </w:r>
          </w:p>
        </w:tc>
        <w:tc>
          <w:tcPr>
            <w:tcW w:w="4422" w:type="dxa"/>
            <w:vAlign w:val="center"/>
          </w:tcPr>
          <w:p w14:paraId="19BE9999">
            <w:pPr>
              <w:pStyle w:val="164"/>
              <w:spacing w:before="40" w:after="40" w:line="240" w:lineRule="auto"/>
              <w:ind w:firstLine="0"/>
              <w:jc w:val="left"/>
            </w:pPr>
            <w:r>
              <w:rPr>
                <w:rFonts w:ascii="Arial" w:hAnsi="Arial" w:eastAsia="宋体"/>
                <w:b w:val="0"/>
                <w:sz w:val="21"/>
              </w:rPr>
              <w:t>φ133×3500</w:t>
            </w:r>
          </w:p>
        </w:tc>
      </w:tr>
      <w:tr w14:paraId="2D6DE8C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713D4EEE">
            <w:pPr>
              <w:pStyle w:val="164"/>
              <w:spacing w:before="40" w:after="40" w:line="240" w:lineRule="auto"/>
              <w:ind w:firstLine="0"/>
              <w:jc w:val="center"/>
            </w:pPr>
            <w:r>
              <w:rPr>
                <w:rFonts w:ascii="Arial" w:hAnsi="Arial" w:eastAsia="宋体"/>
                <w:b w:val="0"/>
                <w:sz w:val="21"/>
              </w:rPr>
              <w:t>9</w:t>
            </w:r>
          </w:p>
        </w:tc>
        <w:tc>
          <w:tcPr>
            <w:tcW w:w="2608" w:type="dxa"/>
            <w:vAlign w:val="center"/>
          </w:tcPr>
          <w:p w14:paraId="18F49081">
            <w:pPr>
              <w:pStyle w:val="164"/>
              <w:spacing w:before="40" w:after="40" w:line="240" w:lineRule="auto"/>
              <w:ind w:firstLine="0"/>
              <w:jc w:val="left"/>
            </w:pPr>
            <w:r>
              <w:rPr>
                <w:rFonts w:ascii="Arial" w:hAnsi="Arial" w:eastAsia="宋体"/>
                <w:b w:val="0"/>
                <w:sz w:val="21"/>
              </w:rPr>
              <w:t>运行温度</w:t>
            </w:r>
          </w:p>
        </w:tc>
        <w:tc>
          <w:tcPr>
            <w:tcW w:w="1361" w:type="dxa"/>
            <w:vAlign w:val="center"/>
          </w:tcPr>
          <w:p w14:paraId="00749212">
            <w:pPr>
              <w:pStyle w:val="164"/>
              <w:spacing w:before="40" w:after="40" w:line="240" w:lineRule="auto"/>
              <w:ind w:firstLine="0"/>
              <w:jc w:val="center"/>
            </w:pPr>
            <w:r>
              <w:rPr>
                <w:rFonts w:ascii="Arial" w:hAnsi="Arial" w:eastAsia="宋体"/>
                <w:b w:val="0"/>
                <w:sz w:val="21"/>
              </w:rPr>
              <w:t>℃</w:t>
            </w:r>
          </w:p>
        </w:tc>
        <w:tc>
          <w:tcPr>
            <w:tcW w:w="4422" w:type="dxa"/>
            <w:vAlign w:val="center"/>
          </w:tcPr>
          <w:p w14:paraId="2BC89953">
            <w:pPr>
              <w:pStyle w:val="164"/>
              <w:spacing w:before="40" w:after="40" w:line="240" w:lineRule="auto"/>
              <w:ind w:firstLine="0"/>
              <w:jc w:val="left"/>
            </w:pPr>
            <w:r>
              <w:rPr>
                <w:rFonts w:ascii="Arial" w:hAnsi="Arial" w:eastAsia="宋体"/>
                <w:b w:val="0"/>
                <w:sz w:val="21"/>
              </w:rPr>
              <w:t>80～120</w:t>
            </w:r>
          </w:p>
        </w:tc>
      </w:tr>
      <w:tr w14:paraId="07F3CCC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3165AEEE">
            <w:pPr>
              <w:pStyle w:val="164"/>
              <w:spacing w:before="40" w:after="40" w:line="240" w:lineRule="auto"/>
              <w:ind w:firstLine="0"/>
              <w:jc w:val="center"/>
            </w:pPr>
            <w:r>
              <w:rPr>
                <w:rFonts w:ascii="Arial" w:hAnsi="Arial" w:eastAsia="宋体"/>
                <w:b w:val="0"/>
                <w:sz w:val="21"/>
              </w:rPr>
              <w:t>10</w:t>
            </w:r>
          </w:p>
        </w:tc>
        <w:tc>
          <w:tcPr>
            <w:tcW w:w="2608" w:type="dxa"/>
            <w:vAlign w:val="center"/>
          </w:tcPr>
          <w:p w14:paraId="36A4E515">
            <w:pPr>
              <w:pStyle w:val="164"/>
              <w:spacing w:before="40" w:after="40" w:line="240" w:lineRule="auto"/>
              <w:ind w:firstLine="0"/>
              <w:jc w:val="left"/>
            </w:pPr>
            <w:r>
              <w:rPr>
                <w:rFonts w:ascii="Arial" w:hAnsi="Arial" w:eastAsia="宋体"/>
                <w:b w:val="0"/>
                <w:sz w:val="21"/>
              </w:rPr>
              <w:t>清灰压力</w:t>
            </w:r>
          </w:p>
        </w:tc>
        <w:tc>
          <w:tcPr>
            <w:tcW w:w="1361" w:type="dxa"/>
            <w:vAlign w:val="center"/>
          </w:tcPr>
          <w:p w14:paraId="6D08F4A5">
            <w:pPr>
              <w:pStyle w:val="164"/>
              <w:spacing w:before="40" w:after="40" w:line="240" w:lineRule="auto"/>
              <w:ind w:firstLine="0"/>
              <w:jc w:val="center"/>
            </w:pPr>
            <w:r>
              <w:rPr>
                <w:rFonts w:ascii="Arial" w:hAnsi="Arial" w:eastAsia="宋体"/>
                <w:b w:val="0"/>
                <w:sz w:val="21"/>
              </w:rPr>
              <w:t>MPa</w:t>
            </w:r>
          </w:p>
        </w:tc>
        <w:tc>
          <w:tcPr>
            <w:tcW w:w="4422" w:type="dxa"/>
            <w:vAlign w:val="center"/>
          </w:tcPr>
          <w:p w14:paraId="28B95C5A">
            <w:pPr>
              <w:pStyle w:val="164"/>
              <w:spacing w:before="40" w:after="40" w:line="240" w:lineRule="auto"/>
              <w:ind w:firstLine="0"/>
              <w:jc w:val="left"/>
            </w:pPr>
            <w:r>
              <w:rPr>
                <w:rFonts w:ascii="Arial" w:hAnsi="Arial" w:eastAsia="宋体"/>
                <w:b w:val="0"/>
                <w:sz w:val="21"/>
              </w:rPr>
              <w:t>0.25～0.4</w:t>
            </w:r>
          </w:p>
        </w:tc>
      </w:tr>
      <w:tr w14:paraId="27C3E8B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380F9073">
            <w:pPr>
              <w:pStyle w:val="164"/>
              <w:spacing w:before="40" w:after="40" w:line="240" w:lineRule="auto"/>
              <w:ind w:firstLine="0"/>
              <w:jc w:val="center"/>
            </w:pPr>
            <w:r>
              <w:rPr>
                <w:rFonts w:ascii="Arial" w:hAnsi="Arial" w:eastAsia="宋体"/>
                <w:b w:val="0"/>
                <w:sz w:val="21"/>
              </w:rPr>
              <w:t>11</w:t>
            </w:r>
          </w:p>
        </w:tc>
        <w:tc>
          <w:tcPr>
            <w:tcW w:w="2608" w:type="dxa"/>
            <w:vAlign w:val="center"/>
          </w:tcPr>
          <w:p w14:paraId="704709E5">
            <w:pPr>
              <w:pStyle w:val="164"/>
              <w:spacing w:before="40" w:after="40" w:line="240" w:lineRule="auto"/>
              <w:ind w:firstLine="0"/>
              <w:jc w:val="left"/>
            </w:pPr>
            <w:r>
              <w:rPr>
                <w:rFonts w:ascii="Arial" w:hAnsi="Arial" w:eastAsia="宋体"/>
                <w:b w:val="0"/>
                <w:sz w:val="21"/>
              </w:rPr>
              <w:t>清灰耗气量</w:t>
            </w:r>
          </w:p>
        </w:tc>
        <w:tc>
          <w:tcPr>
            <w:tcW w:w="1361" w:type="dxa"/>
            <w:vAlign w:val="center"/>
          </w:tcPr>
          <w:p w14:paraId="7AF93757">
            <w:pPr>
              <w:pStyle w:val="164"/>
              <w:spacing w:before="40" w:after="40" w:line="240" w:lineRule="auto"/>
              <w:ind w:firstLine="0"/>
              <w:jc w:val="center"/>
            </w:pPr>
            <w:r>
              <w:rPr>
                <w:rFonts w:ascii="Arial" w:hAnsi="Arial" w:eastAsia="宋体"/>
                <w:b w:val="0"/>
                <w:sz w:val="21"/>
              </w:rPr>
              <w:t>m³/min</w:t>
            </w:r>
          </w:p>
        </w:tc>
        <w:tc>
          <w:tcPr>
            <w:tcW w:w="4422" w:type="dxa"/>
            <w:vAlign w:val="center"/>
          </w:tcPr>
          <w:p w14:paraId="6ED72F32">
            <w:pPr>
              <w:pStyle w:val="164"/>
              <w:spacing w:before="40" w:after="40" w:line="240" w:lineRule="auto"/>
              <w:ind w:firstLine="0"/>
              <w:jc w:val="left"/>
            </w:pPr>
            <w:r>
              <w:rPr>
                <w:rFonts w:ascii="Arial" w:hAnsi="Arial" w:eastAsia="宋体"/>
                <w:b w:val="0"/>
                <w:sz w:val="21"/>
              </w:rPr>
              <w:t>0.8</w:t>
            </w:r>
          </w:p>
        </w:tc>
      </w:tr>
      <w:tr w14:paraId="5EC0711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7B00F445">
            <w:pPr>
              <w:pStyle w:val="164"/>
              <w:spacing w:before="40" w:after="40" w:line="240" w:lineRule="auto"/>
              <w:ind w:firstLine="0"/>
              <w:jc w:val="center"/>
            </w:pPr>
            <w:r>
              <w:rPr>
                <w:rFonts w:ascii="Arial" w:hAnsi="Arial" w:eastAsia="宋体"/>
                <w:b w:val="0"/>
                <w:sz w:val="21"/>
              </w:rPr>
              <w:t>12</w:t>
            </w:r>
          </w:p>
        </w:tc>
        <w:tc>
          <w:tcPr>
            <w:tcW w:w="2608" w:type="dxa"/>
            <w:vAlign w:val="center"/>
          </w:tcPr>
          <w:p w14:paraId="2859C812">
            <w:pPr>
              <w:pStyle w:val="164"/>
              <w:spacing w:before="40" w:after="40" w:line="240" w:lineRule="auto"/>
              <w:ind w:firstLine="0"/>
              <w:jc w:val="left"/>
            </w:pPr>
            <w:r>
              <w:rPr>
                <w:rFonts w:ascii="Arial" w:hAnsi="Arial" w:eastAsia="宋体"/>
                <w:b w:val="0"/>
                <w:sz w:val="21"/>
              </w:rPr>
              <w:t>外形尺寸</w:t>
            </w:r>
          </w:p>
        </w:tc>
        <w:tc>
          <w:tcPr>
            <w:tcW w:w="1361" w:type="dxa"/>
            <w:vAlign w:val="center"/>
          </w:tcPr>
          <w:p w14:paraId="393C9CA8">
            <w:pPr>
              <w:pStyle w:val="164"/>
              <w:spacing w:before="40" w:after="40" w:line="240" w:lineRule="auto"/>
              <w:ind w:firstLine="0"/>
              <w:jc w:val="center"/>
            </w:pPr>
            <w:r>
              <w:rPr>
                <w:rFonts w:ascii="Arial" w:hAnsi="Arial" w:eastAsia="宋体"/>
                <w:b w:val="0"/>
                <w:sz w:val="21"/>
              </w:rPr>
              <w:t>m</w:t>
            </w:r>
          </w:p>
        </w:tc>
        <w:tc>
          <w:tcPr>
            <w:tcW w:w="4422" w:type="dxa"/>
            <w:vAlign w:val="center"/>
          </w:tcPr>
          <w:p w14:paraId="7178EE49">
            <w:pPr>
              <w:pStyle w:val="164"/>
              <w:spacing w:before="40" w:after="40" w:line="240" w:lineRule="auto"/>
              <w:ind w:firstLine="0"/>
              <w:jc w:val="left"/>
            </w:pPr>
            <w:r>
              <w:rPr>
                <w:rFonts w:ascii="Arial" w:hAnsi="Arial" w:eastAsia="宋体"/>
                <w:b w:val="0"/>
                <w:sz w:val="21"/>
              </w:rPr>
              <w:t>5.5×3.4×7.8（不含护栏）</w:t>
            </w:r>
          </w:p>
        </w:tc>
      </w:tr>
    </w:tbl>
    <w:p w14:paraId="6969102E">
      <w:pPr>
        <w:pStyle w:val="4"/>
      </w:pPr>
      <w:r>
        <w:rPr>
          <w:rFonts w:ascii="Arial" w:hAnsi="Arial" w:eastAsia="黑体"/>
          <w:b/>
          <w:color w:val="000000"/>
          <w:sz w:val="28"/>
        </w:rPr>
        <w:t>6.2 离心通风机技术参数</w:t>
      </w:r>
    </w:p>
    <w:p w14:paraId="2C7B0FE2">
      <w:pPr>
        <w:pStyle w:val="15"/>
      </w:pPr>
      <w:r>
        <w:rPr>
          <w:rFonts w:ascii="Arial" w:hAnsi="Arial" w:eastAsia="宋体"/>
          <w:b w:val="0"/>
          <w:color w:val="000000"/>
          <w:sz w:val="21"/>
        </w:rPr>
        <w:t>表5 离心通风机主要技术参数（单台）</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6CFBD49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80" w:type="dxa"/>
            <w:shd w:val="clear" w:color="auto" w:fill="D9D9D9"/>
            <w:vAlign w:val="center"/>
          </w:tcPr>
          <w:p w14:paraId="6FA8E141">
            <w:pPr>
              <w:pStyle w:val="164"/>
              <w:spacing w:before="40" w:after="40" w:line="240" w:lineRule="auto"/>
              <w:ind w:firstLine="0"/>
              <w:jc w:val="center"/>
            </w:pPr>
            <w:r>
              <w:rPr>
                <w:rFonts w:ascii="Arial" w:hAnsi="Arial" w:eastAsia="宋体"/>
                <w:b/>
                <w:sz w:val="21"/>
              </w:rPr>
              <w:t>序号</w:t>
            </w:r>
          </w:p>
        </w:tc>
        <w:tc>
          <w:tcPr>
            <w:tcW w:w="2608" w:type="dxa"/>
            <w:shd w:val="clear" w:color="auto" w:fill="D9D9D9"/>
            <w:vAlign w:val="center"/>
          </w:tcPr>
          <w:p w14:paraId="5434AD5A">
            <w:pPr>
              <w:pStyle w:val="164"/>
              <w:spacing w:before="40" w:after="40" w:line="240" w:lineRule="auto"/>
              <w:ind w:firstLine="0"/>
              <w:jc w:val="center"/>
            </w:pPr>
            <w:r>
              <w:rPr>
                <w:rFonts w:ascii="Arial" w:hAnsi="Arial" w:eastAsia="宋体"/>
                <w:b/>
                <w:sz w:val="21"/>
              </w:rPr>
              <w:t>参数名称</w:t>
            </w:r>
          </w:p>
        </w:tc>
        <w:tc>
          <w:tcPr>
            <w:tcW w:w="1361" w:type="dxa"/>
            <w:shd w:val="clear" w:color="auto" w:fill="D9D9D9"/>
            <w:vAlign w:val="center"/>
          </w:tcPr>
          <w:p w14:paraId="001F03EE">
            <w:pPr>
              <w:pStyle w:val="164"/>
              <w:spacing w:before="40" w:after="40" w:line="240" w:lineRule="auto"/>
              <w:ind w:firstLine="0"/>
              <w:jc w:val="center"/>
            </w:pPr>
            <w:r>
              <w:rPr>
                <w:rFonts w:ascii="Arial" w:hAnsi="Arial" w:eastAsia="宋体"/>
                <w:b/>
                <w:sz w:val="21"/>
              </w:rPr>
              <w:t>单位</w:t>
            </w:r>
          </w:p>
        </w:tc>
        <w:tc>
          <w:tcPr>
            <w:tcW w:w="4422" w:type="dxa"/>
            <w:shd w:val="clear" w:color="auto" w:fill="D9D9D9"/>
            <w:vAlign w:val="center"/>
          </w:tcPr>
          <w:p w14:paraId="18A092C0">
            <w:pPr>
              <w:pStyle w:val="164"/>
              <w:spacing w:before="40" w:after="40" w:line="240" w:lineRule="auto"/>
              <w:ind w:firstLine="0"/>
              <w:jc w:val="center"/>
            </w:pPr>
            <w:r>
              <w:rPr>
                <w:rFonts w:ascii="Arial" w:hAnsi="Arial" w:eastAsia="宋体"/>
                <w:b/>
                <w:sz w:val="21"/>
              </w:rPr>
              <w:t>参数值</w:t>
            </w:r>
          </w:p>
        </w:tc>
      </w:tr>
      <w:tr w14:paraId="47A5679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A6F2C5B">
            <w:pPr>
              <w:pStyle w:val="164"/>
              <w:spacing w:before="40" w:after="40" w:line="240" w:lineRule="auto"/>
              <w:ind w:firstLine="0"/>
              <w:jc w:val="center"/>
            </w:pPr>
            <w:r>
              <w:rPr>
                <w:rFonts w:ascii="Arial" w:hAnsi="Arial" w:eastAsia="宋体"/>
                <w:b w:val="0"/>
                <w:sz w:val="21"/>
              </w:rPr>
              <w:t>1</w:t>
            </w:r>
          </w:p>
        </w:tc>
        <w:tc>
          <w:tcPr>
            <w:tcW w:w="2608" w:type="dxa"/>
            <w:vAlign w:val="center"/>
          </w:tcPr>
          <w:p w14:paraId="5C0B4018">
            <w:pPr>
              <w:pStyle w:val="164"/>
              <w:spacing w:before="40" w:after="40" w:line="240" w:lineRule="auto"/>
              <w:ind w:firstLine="0"/>
              <w:jc w:val="left"/>
            </w:pPr>
            <w:r>
              <w:rPr>
                <w:rFonts w:ascii="Arial" w:hAnsi="Arial" w:eastAsia="宋体"/>
                <w:b w:val="0"/>
                <w:sz w:val="21"/>
              </w:rPr>
              <w:t>设备型号</w:t>
            </w:r>
          </w:p>
        </w:tc>
        <w:tc>
          <w:tcPr>
            <w:tcW w:w="1361" w:type="dxa"/>
            <w:vAlign w:val="center"/>
          </w:tcPr>
          <w:p w14:paraId="7D970A65">
            <w:pPr>
              <w:pStyle w:val="164"/>
              <w:spacing w:before="40" w:after="40" w:line="240" w:lineRule="auto"/>
              <w:ind w:firstLine="0"/>
              <w:jc w:val="center"/>
            </w:pPr>
            <w:r>
              <w:rPr>
                <w:rFonts w:ascii="Arial" w:hAnsi="Arial" w:eastAsia="宋体"/>
                <w:b w:val="0"/>
                <w:sz w:val="21"/>
              </w:rPr>
              <w:t>—</w:t>
            </w:r>
          </w:p>
        </w:tc>
        <w:tc>
          <w:tcPr>
            <w:tcW w:w="4422" w:type="dxa"/>
            <w:vAlign w:val="center"/>
          </w:tcPr>
          <w:p w14:paraId="60D28D4F">
            <w:pPr>
              <w:pStyle w:val="164"/>
              <w:spacing w:before="40" w:after="40" w:line="240" w:lineRule="auto"/>
              <w:ind w:firstLine="0"/>
              <w:jc w:val="left"/>
            </w:pPr>
            <w:r>
              <w:rPr>
                <w:rFonts w:ascii="Arial" w:hAnsi="Arial" w:eastAsia="宋体"/>
                <w:b w:val="0"/>
                <w:sz w:val="21"/>
              </w:rPr>
              <w:t>5-51-№11D</w:t>
            </w:r>
          </w:p>
        </w:tc>
      </w:tr>
      <w:tr w14:paraId="5BDADB8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30A4D5B">
            <w:pPr>
              <w:pStyle w:val="164"/>
              <w:spacing w:before="40" w:after="40" w:line="240" w:lineRule="auto"/>
              <w:ind w:firstLine="0"/>
              <w:jc w:val="center"/>
            </w:pPr>
            <w:r>
              <w:rPr>
                <w:rFonts w:ascii="Arial" w:hAnsi="Arial" w:eastAsia="宋体"/>
                <w:b w:val="0"/>
                <w:sz w:val="21"/>
              </w:rPr>
              <w:t>2</w:t>
            </w:r>
          </w:p>
        </w:tc>
        <w:tc>
          <w:tcPr>
            <w:tcW w:w="2608" w:type="dxa"/>
            <w:vAlign w:val="center"/>
          </w:tcPr>
          <w:p w14:paraId="490EDCA4">
            <w:pPr>
              <w:pStyle w:val="164"/>
              <w:spacing w:before="40" w:after="40" w:line="240" w:lineRule="auto"/>
              <w:ind w:firstLine="0"/>
              <w:jc w:val="left"/>
            </w:pPr>
            <w:r>
              <w:rPr>
                <w:rFonts w:ascii="Arial" w:hAnsi="Arial" w:eastAsia="宋体"/>
                <w:b w:val="0"/>
                <w:sz w:val="21"/>
              </w:rPr>
              <w:t>风量</w:t>
            </w:r>
          </w:p>
        </w:tc>
        <w:tc>
          <w:tcPr>
            <w:tcW w:w="1361" w:type="dxa"/>
            <w:vAlign w:val="center"/>
          </w:tcPr>
          <w:p w14:paraId="641171D9">
            <w:pPr>
              <w:pStyle w:val="164"/>
              <w:spacing w:before="40" w:after="40" w:line="240" w:lineRule="auto"/>
              <w:ind w:firstLine="0"/>
              <w:jc w:val="center"/>
            </w:pPr>
            <w:r>
              <w:rPr>
                <w:rFonts w:ascii="Arial" w:hAnsi="Arial" w:eastAsia="宋体"/>
                <w:b w:val="0"/>
                <w:sz w:val="21"/>
              </w:rPr>
              <w:t>m³/h</w:t>
            </w:r>
          </w:p>
        </w:tc>
        <w:tc>
          <w:tcPr>
            <w:tcW w:w="4422" w:type="dxa"/>
            <w:vAlign w:val="center"/>
          </w:tcPr>
          <w:p w14:paraId="103EF58C">
            <w:pPr>
              <w:pStyle w:val="164"/>
              <w:spacing w:before="40" w:after="40" w:line="240" w:lineRule="auto"/>
              <w:ind w:firstLine="0"/>
              <w:jc w:val="left"/>
            </w:pPr>
            <w:r>
              <w:rPr>
                <w:rFonts w:ascii="Arial" w:hAnsi="Arial" w:eastAsia="宋体"/>
                <w:b w:val="0"/>
                <w:sz w:val="21"/>
              </w:rPr>
              <w:t>38000～51000</w:t>
            </w:r>
          </w:p>
        </w:tc>
      </w:tr>
      <w:tr w14:paraId="5282EE8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0512AB9C">
            <w:pPr>
              <w:pStyle w:val="164"/>
              <w:spacing w:before="40" w:after="40" w:line="240" w:lineRule="auto"/>
              <w:ind w:firstLine="0"/>
              <w:jc w:val="center"/>
            </w:pPr>
            <w:r>
              <w:rPr>
                <w:rFonts w:ascii="Arial" w:hAnsi="Arial" w:eastAsia="宋体"/>
                <w:b w:val="0"/>
                <w:sz w:val="21"/>
              </w:rPr>
              <w:t>3</w:t>
            </w:r>
          </w:p>
        </w:tc>
        <w:tc>
          <w:tcPr>
            <w:tcW w:w="2608" w:type="dxa"/>
            <w:vAlign w:val="center"/>
          </w:tcPr>
          <w:p w14:paraId="5D87AD58">
            <w:pPr>
              <w:pStyle w:val="164"/>
              <w:spacing w:before="40" w:after="40" w:line="240" w:lineRule="auto"/>
              <w:ind w:firstLine="0"/>
              <w:jc w:val="left"/>
            </w:pPr>
            <w:r>
              <w:rPr>
                <w:rFonts w:ascii="Arial" w:hAnsi="Arial" w:eastAsia="宋体"/>
                <w:b w:val="0"/>
                <w:sz w:val="21"/>
              </w:rPr>
              <w:t>全压</w:t>
            </w:r>
          </w:p>
        </w:tc>
        <w:tc>
          <w:tcPr>
            <w:tcW w:w="1361" w:type="dxa"/>
            <w:vAlign w:val="center"/>
          </w:tcPr>
          <w:p w14:paraId="2C3E0959">
            <w:pPr>
              <w:pStyle w:val="164"/>
              <w:spacing w:before="40" w:after="40" w:line="240" w:lineRule="auto"/>
              <w:ind w:firstLine="0"/>
              <w:jc w:val="center"/>
            </w:pPr>
            <w:r>
              <w:rPr>
                <w:rFonts w:ascii="Arial" w:hAnsi="Arial" w:eastAsia="宋体"/>
                <w:b w:val="0"/>
                <w:sz w:val="21"/>
              </w:rPr>
              <w:t>Pa</w:t>
            </w:r>
          </w:p>
        </w:tc>
        <w:tc>
          <w:tcPr>
            <w:tcW w:w="4422" w:type="dxa"/>
            <w:vAlign w:val="center"/>
          </w:tcPr>
          <w:p w14:paraId="0011761C">
            <w:pPr>
              <w:pStyle w:val="164"/>
              <w:spacing w:before="40" w:after="40" w:line="240" w:lineRule="auto"/>
              <w:ind w:firstLine="0"/>
              <w:jc w:val="left"/>
            </w:pPr>
            <w:r>
              <w:rPr>
                <w:rFonts w:ascii="Arial" w:hAnsi="Arial" w:eastAsia="宋体"/>
                <w:b w:val="0"/>
                <w:sz w:val="21"/>
              </w:rPr>
              <w:t>3600～4600</w:t>
            </w:r>
          </w:p>
        </w:tc>
      </w:tr>
      <w:tr w14:paraId="07722EC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1E3FA1BD">
            <w:pPr>
              <w:pStyle w:val="164"/>
              <w:spacing w:before="40" w:after="40" w:line="240" w:lineRule="auto"/>
              <w:ind w:firstLine="0"/>
              <w:jc w:val="center"/>
            </w:pPr>
            <w:r>
              <w:rPr>
                <w:rFonts w:ascii="Arial" w:hAnsi="Arial" w:eastAsia="宋体"/>
                <w:b w:val="0"/>
                <w:sz w:val="21"/>
              </w:rPr>
              <w:t>4</w:t>
            </w:r>
          </w:p>
        </w:tc>
        <w:tc>
          <w:tcPr>
            <w:tcW w:w="2608" w:type="dxa"/>
            <w:vAlign w:val="center"/>
          </w:tcPr>
          <w:p w14:paraId="74CA7D1B">
            <w:pPr>
              <w:pStyle w:val="164"/>
              <w:spacing w:before="40" w:after="40" w:line="240" w:lineRule="auto"/>
              <w:ind w:firstLine="0"/>
              <w:jc w:val="left"/>
            </w:pPr>
            <w:r>
              <w:rPr>
                <w:rFonts w:ascii="Arial" w:hAnsi="Arial" w:eastAsia="宋体"/>
                <w:b w:val="0"/>
                <w:sz w:val="21"/>
              </w:rPr>
              <w:t>电机功率</w:t>
            </w:r>
          </w:p>
        </w:tc>
        <w:tc>
          <w:tcPr>
            <w:tcW w:w="1361" w:type="dxa"/>
            <w:vAlign w:val="center"/>
          </w:tcPr>
          <w:p w14:paraId="5E2ABF49">
            <w:pPr>
              <w:pStyle w:val="164"/>
              <w:spacing w:before="40" w:after="40" w:line="240" w:lineRule="auto"/>
              <w:ind w:firstLine="0"/>
              <w:jc w:val="center"/>
            </w:pPr>
            <w:r>
              <w:rPr>
                <w:rFonts w:ascii="Arial" w:hAnsi="Arial" w:eastAsia="宋体"/>
                <w:b w:val="0"/>
                <w:sz w:val="21"/>
              </w:rPr>
              <w:t>kW</w:t>
            </w:r>
          </w:p>
        </w:tc>
        <w:tc>
          <w:tcPr>
            <w:tcW w:w="4422" w:type="dxa"/>
            <w:vAlign w:val="center"/>
          </w:tcPr>
          <w:p w14:paraId="7EF9B7E2">
            <w:pPr>
              <w:pStyle w:val="164"/>
              <w:spacing w:before="40" w:after="40" w:line="240" w:lineRule="auto"/>
              <w:ind w:firstLine="0"/>
              <w:jc w:val="left"/>
            </w:pPr>
            <w:r>
              <w:rPr>
                <w:rFonts w:ascii="Arial" w:hAnsi="Arial" w:eastAsia="宋体"/>
                <w:b w:val="0"/>
                <w:sz w:val="21"/>
              </w:rPr>
              <w:t>75（变频启动，可配置至90）</w:t>
            </w:r>
          </w:p>
        </w:tc>
      </w:tr>
      <w:tr w14:paraId="1548061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144F782A">
            <w:pPr>
              <w:pStyle w:val="164"/>
              <w:spacing w:before="40" w:after="40" w:line="240" w:lineRule="auto"/>
              <w:ind w:firstLine="0"/>
              <w:jc w:val="center"/>
            </w:pPr>
            <w:r>
              <w:rPr>
                <w:rFonts w:ascii="Arial" w:hAnsi="Arial" w:eastAsia="宋体"/>
                <w:b w:val="0"/>
                <w:sz w:val="21"/>
              </w:rPr>
              <w:t>5</w:t>
            </w:r>
          </w:p>
        </w:tc>
        <w:tc>
          <w:tcPr>
            <w:tcW w:w="2608" w:type="dxa"/>
            <w:vAlign w:val="center"/>
          </w:tcPr>
          <w:p w14:paraId="354D2328">
            <w:pPr>
              <w:pStyle w:val="164"/>
              <w:spacing w:before="40" w:after="40" w:line="240" w:lineRule="auto"/>
              <w:ind w:firstLine="0"/>
              <w:jc w:val="left"/>
            </w:pPr>
            <w:r>
              <w:rPr>
                <w:rFonts w:ascii="Arial" w:hAnsi="Arial" w:eastAsia="宋体"/>
                <w:b w:val="0"/>
                <w:sz w:val="21"/>
              </w:rPr>
              <w:t>运行温度</w:t>
            </w:r>
          </w:p>
        </w:tc>
        <w:tc>
          <w:tcPr>
            <w:tcW w:w="1361" w:type="dxa"/>
            <w:vAlign w:val="center"/>
          </w:tcPr>
          <w:p w14:paraId="45787FA9">
            <w:pPr>
              <w:pStyle w:val="164"/>
              <w:spacing w:before="40" w:after="40" w:line="240" w:lineRule="auto"/>
              <w:ind w:firstLine="0"/>
              <w:jc w:val="center"/>
            </w:pPr>
            <w:r>
              <w:rPr>
                <w:rFonts w:ascii="Arial" w:hAnsi="Arial" w:eastAsia="宋体"/>
                <w:b w:val="0"/>
                <w:sz w:val="21"/>
              </w:rPr>
              <w:t>℃</w:t>
            </w:r>
          </w:p>
        </w:tc>
        <w:tc>
          <w:tcPr>
            <w:tcW w:w="4422" w:type="dxa"/>
            <w:vAlign w:val="center"/>
          </w:tcPr>
          <w:p w14:paraId="561B3055">
            <w:pPr>
              <w:pStyle w:val="164"/>
              <w:spacing w:before="40" w:after="40" w:line="240" w:lineRule="auto"/>
              <w:ind w:firstLine="0"/>
              <w:jc w:val="left"/>
            </w:pPr>
            <w:r>
              <w:rPr>
                <w:rFonts w:ascii="Arial" w:hAnsi="Arial" w:eastAsia="宋体"/>
                <w:b w:val="0"/>
                <w:sz w:val="21"/>
              </w:rPr>
              <w:t>＜130</w:t>
            </w:r>
          </w:p>
        </w:tc>
      </w:tr>
      <w:tr w14:paraId="34C825E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F255833">
            <w:pPr>
              <w:pStyle w:val="164"/>
              <w:spacing w:before="40" w:after="40" w:line="240" w:lineRule="auto"/>
              <w:ind w:firstLine="0"/>
              <w:jc w:val="center"/>
            </w:pPr>
            <w:r>
              <w:rPr>
                <w:rFonts w:ascii="Arial" w:hAnsi="Arial" w:eastAsia="宋体"/>
                <w:b w:val="0"/>
                <w:sz w:val="21"/>
              </w:rPr>
              <w:t>6</w:t>
            </w:r>
          </w:p>
        </w:tc>
        <w:tc>
          <w:tcPr>
            <w:tcW w:w="2608" w:type="dxa"/>
            <w:vAlign w:val="center"/>
          </w:tcPr>
          <w:p w14:paraId="0BF86963">
            <w:pPr>
              <w:pStyle w:val="164"/>
              <w:spacing w:before="40" w:after="40" w:line="240" w:lineRule="auto"/>
              <w:ind w:firstLine="0"/>
              <w:jc w:val="left"/>
            </w:pPr>
            <w:r>
              <w:rPr>
                <w:rFonts w:ascii="Arial" w:hAnsi="Arial" w:eastAsia="宋体"/>
                <w:b w:val="0"/>
                <w:sz w:val="21"/>
              </w:rPr>
              <w:t>进口气体含尘浓度</w:t>
            </w:r>
          </w:p>
        </w:tc>
        <w:tc>
          <w:tcPr>
            <w:tcW w:w="1361" w:type="dxa"/>
            <w:vAlign w:val="center"/>
          </w:tcPr>
          <w:p w14:paraId="64E74BAC">
            <w:pPr>
              <w:pStyle w:val="164"/>
              <w:spacing w:before="40" w:after="40" w:line="240" w:lineRule="auto"/>
              <w:ind w:firstLine="0"/>
              <w:jc w:val="center"/>
            </w:pPr>
            <w:r>
              <w:rPr>
                <w:rFonts w:ascii="Arial" w:hAnsi="Arial" w:eastAsia="宋体"/>
                <w:b w:val="0"/>
                <w:sz w:val="21"/>
              </w:rPr>
              <w:t>mg/Nm³</w:t>
            </w:r>
          </w:p>
        </w:tc>
        <w:tc>
          <w:tcPr>
            <w:tcW w:w="4422" w:type="dxa"/>
            <w:vAlign w:val="center"/>
          </w:tcPr>
          <w:p w14:paraId="0EF6A924">
            <w:pPr>
              <w:pStyle w:val="164"/>
              <w:spacing w:before="40" w:after="40" w:line="240" w:lineRule="auto"/>
              <w:ind w:firstLine="0"/>
              <w:jc w:val="left"/>
            </w:pPr>
            <w:r>
              <w:rPr>
                <w:rFonts w:ascii="Arial" w:hAnsi="Arial" w:eastAsia="宋体"/>
                <w:b w:val="0"/>
                <w:sz w:val="21"/>
              </w:rPr>
              <w:t>≤80</w:t>
            </w:r>
          </w:p>
        </w:tc>
      </w:tr>
      <w:tr w14:paraId="3AD02F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074F113">
            <w:pPr>
              <w:pStyle w:val="164"/>
              <w:spacing w:before="40" w:after="40" w:line="240" w:lineRule="auto"/>
              <w:ind w:firstLine="0"/>
              <w:jc w:val="center"/>
            </w:pPr>
            <w:r>
              <w:rPr>
                <w:rFonts w:ascii="Arial" w:hAnsi="Arial" w:eastAsia="宋体"/>
                <w:b w:val="0"/>
                <w:sz w:val="21"/>
              </w:rPr>
              <w:t>7</w:t>
            </w:r>
          </w:p>
        </w:tc>
        <w:tc>
          <w:tcPr>
            <w:tcW w:w="2608" w:type="dxa"/>
            <w:vAlign w:val="center"/>
          </w:tcPr>
          <w:p w14:paraId="7E0B0AE2">
            <w:pPr>
              <w:pStyle w:val="164"/>
              <w:spacing w:before="40" w:after="40" w:line="240" w:lineRule="auto"/>
              <w:ind w:firstLine="0"/>
              <w:jc w:val="left"/>
            </w:pPr>
            <w:r>
              <w:rPr>
                <w:rFonts w:ascii="Arial" w:hAnsi="Arial" w:eastAsia="宋体"/>
                <w:b w:val="0"/>
                <w:sz w:val="21"/>
              </w:rPr>
              <w:t>转速</w:t>
            </w:r>
          </w:p>
        </w:tc>
        <w:tc>
          <w:tcPr>
            <w:tcW w:w="1361" w:type="dxa"/>
            <w:vAlign w:val="center"/>
          </w:tcPr>
          <w:p w14:paraId="0F29B8AF">
            <w:pPr>
              <w:pStyle w:val="164"/>
              <w:spacing w:before="40" w:after="40" w:line="240" w:lineRule="auto"/>
              <w:ind w:firstLine="0"/>
              <w:jc w:val="center"/>
            </w:pPr>
            <w:r>
              <w:rPr>
                <w:rFonts w:ascii="Arial" w:hAnsi="Arial" w:eastAsia="宋体"/>
                <w:b w:val="0"/>
                <w:sz w:val="21"/>
              </w:rPr>
              <w:t>r/min</w:t>
            </w:r>
          </w:p>
        </w:tc>
        <w:tc>
          <w:tcPr>
            <w:tcW w:w="4422" w:type="dxa"/>
            <w:vAlign w:val="center"/>
          </w:tcPr>
          <w:p w14:paraId="4D82C167">
            <w:pPr>
              <w:pStyle w:val="164"/>
              <w:spacing w:before="40" w:after="40" w:line="240" w:lineRule="auto"/>
              <w:ind w:firstLine="0"/>
              <w:jc w:val="left"/>
            </w:pPr>
            <w:r>
              <w:rPr>
                <w:rFonts w:ascii="Arial" w:hAnsi="Arial" w:eastAsia="宋体"/>
                <w:b w:val="0"/>
                <w:sz w:val="21"/>
              </w:rPr>
              <w:t>1450</w:t>
            </w:r>
          </w:p>
        </w:tc>
      </w:tr>
    </w:tbl>
    <w:p w14:paraId="6DAA2C66">
      <w:pPr>
        <w:pStyle w:val="4"/>
      </w:pPr>
      <w:r>
        <w:rPr>
          <w:rFonts w:ascii="Arial" w:hAnsi="Arial" w:eastAsia="黑体"/>
          <w:b/>
          <w:color w:val="000000"/>
          <w:sz w:val="28"/>
        </w:rPr>
        <w:t>6.3 全系统配套设备配置清单</w:t>
      </w:r>
    </w:p>
    <w:p w14:paraId="3EBCB4FC">
      <w:pPr>
        <w:pStyle w:val="15"/>
      </w:pPr>
      <w:r>
        <w:rPr>
          <w:rFonts w:ascii="Arial" w:hAnsi="Arial" w:eastAsia="宋体"/>
          <w:b w:val="0"/>
          <w:color w:val="000000"/>
          <w:sz w:val="21"/>
        </w:rPr>
        <w:t>表6 全系统配套设备配置清单（2套除尘系统，不含商务价格）</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512"/>
        <w:gridCol w:w="1512"/>
        <w:gridCol w:w="1512"/>
        <w:gridCol w:w="1512"/>
        <w:gridCol w:w="1512"/>
        <w:gridCol w:w="1512"/>
      </w:tblGrid>
      <w:tr w14:paraId="227CE0C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567" w:type="dxa"/>
            <w:shd w:val="clear" w:color="auto" w:fill="D9D9D9"/>
            <w:vAlign w:val="center"/>
          </w:tcPr>
          <w:p w14:paraId="55208EC6">
            <w:pPr>
              <w:pStyle w:val="164"/>
              <w:spacing w:before="40" w:after="40" w:line="240" w:lineRule="auto"/>
              <w:ind w:firstLine="0"/>
              <w:jc w:val="center"/>
            </w:pPr>
            <w:r>
              <w:rPr>
                <w:rFonts w:ascii="Arial" w:hAnsi="Arial" w:eastAsia="宋体"/>
                <w:b/>
                <w:sz w:val="21"/>
              </w:rPr>
              <w:t>序号</w:t>
            </w:r>
          </w:p>
        </w:tc>
        <w:tc>
          <w:tcPr>
            <w:tcW w:w="2721" w:type="dxa"/>
            <w:shd w:val="clear" w:color="auto" w:fill="D9D9D9"/>
            <w:vAlign w:val="center"/>
          </w:tcPr>
          <w:p w14:paraId="28E64F6D">
            <w:pPr>
              <w:pStyle w:val="164"/>
              <w:spacing w:before="40" w:after="40" w:line="240" w:lineRule="auto"/>
              <w:ind w:firstLine="0"/>
              <w:jc w:val="center"/>
            </w:pPr>
            <w:r>
              <w:rPr>
                <w:rFonts w:ascii="Arial" w:hAnsi="Arial" w:eastAsia="宋体"/>
                <w:b/>
                <w:sz w:val="21"/>
              </w:rPr>
              <w:t>名称</w:t>
            </w:r>
          </w:p>
        </w:tc>
        <w:tc>
          <w:tcPr>
            <w:tcW w:w="2381" w:type="dxa"/>
            <w:shd w:val="clear" w:color="auto" w:fill="D9D9D9"/>
            <w:vAlign w:val="center"/>
          </w:tcPr>
          <w:p w14:paraId="0F7A2201">
            <w:pPr>
              <w:pStyle w:val="164"/>
              <w:spacing w:before="40" w:after="40" w:line="240" w:lineRule="auto"/>
              <w:ind w:firstLine="0"/>
              <w:jc w:val="center"/>
            </w:pPr>
            <w:r>
              <w:rPr>
                <w:rFonts w:ascii="Arial" w:hAnsi="Arial" w:eastAsia="宋体"/>
                <w:b/>
                <w:sz w:val="21"/>
              </w:rPr>
              <w:t>规格型号</w:t>
            </w:r>
          </w:p>
        </w:tc>
        <w:tc>
          <w:tcPr>
            <w:tcW w:w="794" w:type="dxa"/>
            <w:shd w:val="clear" w:color="auto" w:fill="D9D9D9"/>
            <w:vAlign w:val="center"/>
          </w:tcPr>
          <w:p w14:paraId="2244397A">
            <w:pPr>
              <w:pStyle w:val="164"/>
              <w:spacing w:before="40" w:after="40" w:line="240" w:lineRule="auto"/>
              <w:ind w:firstLine="0"/>
              <w:jc w:val="center"/>
            </w:pPr>
            <w:r>
              <w:rPr>
                <w:rFonts w:ascii="Arial" w:hAnsi="Arial" w:eastAsia="宋体"/>
                <w:b/>
                <w:sz w:val="21"/>
              </w:rPr>
              <w:t>数量</w:t>
            </w:r>
          </w:p>
        </w:tc>
        <w:tc>
          <w:tcPr>
            <w:tcW w:w="680" w:type="dxa"/>
            <w:shd w:val="clear" w:color="auto" w:fill="D9D9D9"/>
            <w:vAlign w:val="center"/>
          </w:tcPr>
          <w:p w14:paraId="474F72D8">
            <w:pPr>
              <w:pStyle w:val="164"/>
              <w:spacing w:before="40" w:after="40" w:line="240" w:lineRule="auto"/>
              <w:ind w:firstLine="0"/>
              <w:jc w:val="center"/>
            </w:pPr>
            <w:r>
              <w:rPr>
                <w:rFonts w:ascii="Arial" w:hAnsi="Arial" w:eastAsia="宋体"/>
                <w:b/>
                <w:sz w:val="21"/>
              </w:rPr>
              <w:t>单位</w:t>
            </w:r>
          </w:p>
        </w:tc>
        <w:tc>
          <w:tcPr>
            <w:tcW w:w="1928" w:type="dxa"/>
            <w:shd w:val="clear" w:color="auto" w:fill="D9D9D9"/>
            <w:vAlign w:val="center"/>
          </w:tcPr>
          <w:p w14:paraId="639856EB">
            <w:pPr>
              <w:pStyle w:val="164"/>
              <w:spacing w:before="40" w:after="40" w:line="240" w:lineRule="auto"/>
              <w:ind w:firstLine="0"/>
              <w:jc w:val="center"/>
            </w:pPr>
            <w:r>
              <w:rPr>
                <w:rFonts w:ascii="Arial" w:hAnsi="Arial" w:eastAsia="宋体"/>
                <w:b/>
                <w:sz w:val="21"/>
              </w:rPr>
              <w:t>用途说明</w:t>
            </w:r>
          </w:p>
        </w:tc>
      </w:tr>
      <w:tr w14:paraId="4B30B3E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2BD82EC7">
            <w:pPr>
              <w:pStyle w:val="164"/>
              <w:spacing w:before="40" w:after="40" w:line="240" w:lineRule="auto"/>
              <w:ind w:firstLine="0"/>
              <w:jc w:val="center"/>
            </w:pPr>
            <w:r>
              <w:rPr>
                <w:rFonts w:ascii="Arial" w:hAnsi="Arial" w:eastAsia="宋体"/>
                <w:b w:val="0"/>
                <w:sz w:val="21"/>
              </w:rPr>
              <w:t>1</w:t>
            </w:r>
          </w:p>
        </w:tc>
        <w:tc>
          <w:tcPr>
            <w:tcW w:w="2721" w:type="dxa"/>
            <w:vAlign w:val="center"/>
          </w:tcPr>
          <w:p w14:paraId="0EF2D76E">
            <w:pPr>
              <w:pStyle w:val="164"/>
              <w:spacing w:before="40" w:after="40" w:line="240" w:lineRule="auto"/>
              <w:ind w:firstLine="0"/>
              <w:jc w:val="left"/>
            </w:pPr>
            <w:r>
              <w:rPr>
                <w:rFonts w:ascii="Arial" w:hAnsi="Arial" w:eastAsia="宋体"/>
                <w:b w:val="0"/>
                <w:sz w:val="21"/>
              </w:rPr>
              <w:t>布袋除尘器本体</w:t>
            </w:r>
          </w:p>
        </w:tc>
        <w:tc>
          <w:tcPr>
            <w:tcW w:w="2381" w:type="dxa"/>
            <w:vAlign w:val="center"/>
          </w:tcPr>
          <w:p w14:paraId="19D10CCF">
            <w:pPr>
              <w:pStyle w:val="164"/>
              <w:spacing w:before="40" w:after="40" w:line="240" w:lineRule="auto"/>
              <w:ind w:firstLine="0"/>
              <w:jc w:val="left"/>
            </w:pPr>
            <w:r>
              <w:rPr>
                <w:rFonts w:ascii="Arial" w:hAnsi="Arial" w:eastAsia="宋体"/>
                <w:b w:val="0"/>
                <w:sz w:val="21"/>
              </w:rPr>
              <w:t>DMC-800型</w:t>
            </w:r>
          </w:p>
        </w:tc>
        <w:tc>
          <w:tcPr>
            <w:tcW w:w="794" w:type="dxa"/>
            <w:vAlign w:val="center"/>
          </w:tcPr>
          <w:p w14:paraId="4443B97B">
            <w:pPr>
              <w:pStyle w:val="164"/>
              <w:spacing w:before="40" w:after="40" w:line="240" w:lineRule="auto"/>
              <w:ind w:firstLine="0"/>
              <w:jc w:val="center"/>
            </w:pPr>
            <w:r>
              <w:rPr>
                <w:rFonts w:ascii="Arial" w:hAnsi="Arial" w:eastAsia="宋体"/>
                <w:b w:val="0"/>
                <w:sz w:val="21"/>
              </w:rPr>
              <w:t>2</w:t>
            </w:r>
          </w:p>
        </w:tc>
        <w:tc>
          <w:tcPr>
            <w:tcW w:w="680" w:type="dxa"/>
            <w:vAlign w:val="center"/>
          </w:tcPr>
          <w:p w14:paraId="6BB2898B">
            <w:pPr>
              <w:pStyle w:val="164"/>
              <w:spacing w:before="40" w:after="40" w:line="240" w:lineRule="auto"/>
              <w:ind w:firstLine="0"/>
              <w:jc w:val="center"/>
            </w:pPr>
            <w:r>
              <w:rPr>
                <w:rFonts w:ascii="Arial" w:hAnsi="Arial" w:eastAsia="宋体"/>
                <w:b w:val="0"/>
                <w:sz w:val="21"/>
              </w:rPr>
              <w:t>台</w:t>
            </w:r>
          </w:p>
        </w:tc>
        <w:tc>
          <w:tcPr>
            <w:tcW w:w="1928" w:type="dxa"/>
            <w:vAlign w:val="center"/>
          </w:tcPr>
          <w:p w14:paraId="190F3D7B">
            <w:pPr>
              <w:pStyle w:val="164"/>
              <w:spacing w:before="40" w:after="40" w:line="240" w:lineRule="auto"/>
              <w:ind w:firstLine="0"/>
              <w:jc w:val="left"/>
            </w:pPr>
            <w:r>
              <w:rPr>
                <w:rFonts w:ascii="Arial" w:hAnsi="Arial" w:eastAsia="宋体"/>
                <w:b w:val="0"/>
                <w:sz w:val="21"/>
              </w:rPr>
              <w:t>每套1台，含灰斗、上中箱体、喷吹与卸灰装置</w:t>
            </w:r>
          </w:p>
        </w:tc>
      </w:tr>
      <w:tr w14:paraId="0885026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7D9CEA8B">
            <w:pPr>
              <w:pStyle w:val="164"/>
              <w:spacing w:before="40" w:after="40" w:line="240" w:lineRule="auto"/>
              <w:ind w:firstLine="0"/>
              <w:jc w:val="center"/>
            </w:pPr>
            <w:r>
              <w:rPr>
                <w:rFonts w:ascii="Arial" w:hAnsi="Arial" w:eastAsia="宋体"/>
                <w:b w:val="0"/>
                <w:sz w:val="21"/>
              </w:rPr>
              <w:t>2</w:t>
            </w:r>
          </w:p>
        </w:tc>
        <w:tc>
          <w:tcPr>
            <w:tcW w:w="2721" w:type="dxa"/>
            <w:vAlign w:val="center"/>
          </w:tcPr>
          <w:p w14:paraId="78037EBA">
            <w:pPr>
              <w:pStyle w:val="164"/>
              <w:spacing w:before="40" w:after="40" w:line="240" w:lineRule="auto"/>
              <w:ind w:firstLine="0"/>
              <w:jc w:val="left"/>
            </w:pPr>
            <w:r>
              <w:rPr>
                <w:rFonts w:ascii="Arial" w:hAnsi="Arial" w:eastAsia="宋体"/>
                <w:b w:val="0"/>
                <w:sz w:val="21"/>
              </w:rPr>
              <w:t>滤袋</w:t>
            </w:r>
          </w:p>
        </w:tc>
        <w:tc>
          <w:tcPr>
            <w:tcW w:w="2381" w:type="dxa"/>
            <w:vAlign w:val="center"/>
          </w:tcPr>
          <w:p w14:paraId="16E20A2A">
            <w:pPr>
              <w:pStyle w:val="164"/>
              <w:spacing w:before="40" w:after="40" w:line="240" w:lineRule="auto"/>
              <w:ind w:firstLine="0"/>
              <w:jc w:val="left"/>
            </w:pPr>
            <w:r>
              <w:rPr>
                <w:rFonts w:ascii="Arial" w:hAnsi="Arial" w:eastAsia="宋体"/>
                <w:b w:val="0"/>
                <w:sz w:val="21"/>
              </w:rPr>
              <w:t>抗静电涤纶针刺毡 φ130×3500</w:t>
            </w:r>
          </w:p>
        </w:tc>
        <w:tc>
          <w:tcPr>
            <w:tcW w:w="794" w:type="dxa"/>
            <w:vAlign w:val="center"/>
          </w:tcPr>
          <w:p w14:paraId="3729C0AC">
            <w:pPr>
              <w:pStyle w:val="164"/>
              <w:spacing w:before="40" w:after="40" w:line="240" w:lineRule="auto"/>
              <w:ind w:firstLine="0"/>
              <w:jc w:val="center"/>
            </w:pPr>
            <w:r>
              <w:rPr>
                <w:rFonts w:ascii="Arial" w:hAnsi="Arial" w:eastAsia="宋体"/>
                <w:b w:val="0"/>
                <w:sz w:val="21"/>
              </w:rPr>
              <w:t>1080</w:t>
            </w:r>
          </w:p>
        </w:tc>
        <w:tc>
          <w:tcPr>
            <w:tcW w:w="680" w:type="dxa"/>
            <w:vAlign w:val="center"/>
          </w:tcPr>
          <w:p w14:paraId="06DA02E7">
            <w:pPr>
              <w:pStyle w:val="164"/>
              <w:spacing w:before="40" w:after="40" w:line="240" w:lineRule="auto"/>
              <w:ind w:firstLine="0"/>
              <w:jc w:val="center"/>
            </w:pPr>
            <w:r>
              <w:rPr>
                <w:rFonts w:ascii="Arial" w:hAnsi="Arial" w:eastAsia="宋体"/>
                <w:b w:val="0"/>
                <w:sz w:val="21"/>
              </w:rPr>
              <w:t>条</w:t>
            </w:r>
          </w:p>
        </w:tc>
        <w:tc>
          <w:tcPr>
            <w:tcW w:w="1928" w:type="dxa"/>
            <w:vAlign w:val="center"/>
          </w:tcPr>
          <w:p w14:paraId="20D94CC5">
            <w:pPr>
              <w:pStyle w:val="164"/>
              <w:spacing w:before="40" w:after="40" w:line="240" w:lineRule="auto"/>
              <w:ind w:firstLine="0"/>
              <w:jc w:val="left"/>
            </w:pPr>
            <w:r>
              <w:rPr>
                <w:rFonts w:ascii="Arial" w:hAnsi="Arial" w:eastAsia="宋体"/>
                <w:b w:val="0"/>
                <w:sz w:val="21"/>
              </w:rPr>
              <w:t>每套540条</w:t>
            </w:r>
          </w:p>
        </w:tc>
      </w:tr>
      <w:tr w14:paraId="0D5539A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4E1FC36F">
            <w:pPr>
              <w:pStyle w:val="164"/>
              <w:spacing w:before="40" w:after="40" w:line="240" w:lineRule="auto"/>
              <w:ind w:firstLine="0"/>
              <w:jc w:val="center"/>
            </w:pPr>
            <w:r>
              <w:rPr>
                <w:rFonts w:ascii="Arial" w:hAnsi="Arial" w:eastAsia="宋体"/>
                <w:b w:val="0"/>
                <w:sz w:val="21"/>
              </w:rPr>
              <w:t>3</w:t>
            </w:r>
          </w:p>
        </w:tc>
        <w:tc>
          <w:tcPr>
            <w:tcW w:w="2721" w:type="dxa"/>
            <w:vAlign w:val="center"/>
          </w:tcPr>
          <w:p w14:paraId="6C6F2BE9">
            <w:pPr>
              <w:pStyle w:val="164"/>
              <w:spacing w:before="40" w:after="40" w:line="240" w:lineRule="auto"/>
              <w:ind w:firstLine="0"/>
              <w:jc w:val="left"/>
            </w:pPr>
            <w:r>
              <w:rPr>
                <w:rFonts w:ascii="Arial" w:hAnsi="Arial" w:eastAsia="宋体"/>
                <w:b w:val="0"/>
                <w:sz w:val="21"/>
              </w:rPr>
              <w:t>袋笼</w:t>
            </w:r>
          </w:p>
        </w:tc>
        <w:tc>
          <w:tcPr>
            <w:tcW w:w="2381" w:type="dxa"/>
            <w:vAlign w:val="center"/>
          </w:tcPr>
          <w:p w14:paraId="363A09AB">
            <w:pPr>
              <w:pStyle w:val="164"/>
              <w:spacing w:before="40" w:after="40" w:line="240" w:lineRule="auto"/>
              <w:ind w:firstLine="0"/>
              <w:jc w:val="left"/>
            </w:pPr>
            <w:r>
              <w:rPr>
                <w:rFonts w:ascii="Arial" w:hAnsi="Arial" w:eastAsia="宋体"/>
                <w:b w:val="0"/>
                <w:sz w:val="21"/>
              </w:rPr>
              <w:t>φ120×3450（碳钢喷塑）</w:t>
            </w:r>
          </w:p>
        </w:tc>
        <w:tc>
          <w:tcPr>
            <w:tcW w:w="794" w:type="dxa"/>
            <w:vAlign w:val="center"/>
          </w:tcPr>
          <w:p w14:paraId="3184DC65">
            <w:pPr>
              <w:pStyle w:val="164"/>
              <w:spacing w:before="40" w:after="40" w:line="240" w:lineRule="auto"/>
              <w:ind w:firstLine="0"/>
              <w:jc w:val="center"/>
            </w:pPr>
            <w:r>
              <w:rPr>
                <w:rFonts w:ascii="Arial" w:hAnsi="Arial" w:eastAsia="宋体"/>
                <w:b w:val="0"/>
                <w:sz w:val="21"/>
              </w:rPr>
              <w:t>1080</w:t>
            </w:r>
          </w:p>
        </w:tc>
        <w:tc>
          <w:tcPr>
            <w:tcW w:w="680" w:type="dxa"/>
            <w:vAlign w:val="center"/>
          </w:tcPr>
          <w:p w14:paraId="61FB64EF">
            <w:pPr>
              <w:pStyle w:val="164"/>
              <w:spacing w:before="40" w:after="40" w:line="240" w:lineRule="auto"/>
              <w:ind w:firstLine="0"/>
              <w:jc w:val="center"/>
            </w:pPr>
            <w:r>
              <w:rPr>
                <w:rFonts w:ascii="Arial" w:hAnsi="Arial" w:eastAsia="宋体"/>
                <w:b w:val="0"/>
                <w:sz w:val="21"/>
              </w:rPr>
              <w:t>根</w:t>
            </w:r>
          </w:p>
        </w:tc>
        <w:tc>
          <w:tcPr>
            <w:tcW w:w="1928" w:type="dxa"/>
            <w:vAlign w:val="center"/>
          </w:tcPr>
          <w:p w14:paraId="00DF99E6">
            <w:pPr>
              <w:pStyle w:val="164"/>
              <w:spacing w:before="40" w:after="40" w:line="240" w:lineRule="auto"/>
              <w:ind w:firstLine="0"/>
              <w:jc w:val="left"/>
            </w:pPr>
            <w:r>
              <w:rPr>
                <w:rFonts w:ascii="Arial" w:hAnsi="Arial" w:eastAsia="宋体"/>
                <w:b w:val="0"/>
                <w:sz w:val="21"/>
              </w:rPr>
              <w:t>每套540根</w:t>
            </w:r>
          </w:p>
        </w:tc>
      </w:tr>
      <w:tr w14:paraId="0050447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22AE7BE5">
            <w:pPr>
              <w:pStyle w:val="164"/>
              <w:spacing w:before="40" w:after="40" w:line="240" w:lineRule="auto"/>
              <w:ind w:firstLine="0"/>
              <w:jc w:val="center"/>
            </w:pPr>
            <w:r>
              <w:rPr>
                <w:rFonts w:ascii="Arial" w:hAnsi="Arial" w:eastAsia="宋体"/>
                <w:b w:val="0"/>
                <w:sz w:val="21"/>
              </w:rPr>
              <w:t>4</w:t>
            </w:r>
          </w:p>
        </w:tc>
        <w:tc>
          <w:tcPr>
            <w:tcW w:w="2721" w:type="dxa"/>
            <w:vAlign w:val="center"/>
          </w:tcPr>
          <w:p w14:paraId="79F21BDD">
            <w:pPr>
              <w:pStyle w:val="164"/>
              <w:spacing w:before="40" w:after="40" w:line="240" w:lineRule="auto"/>
              <w:ind w:firstLine="0"/>
              <w:jc w:val="left"/>
            </w:pPr>
            <w:r>
              <w:rPr>
                <w:rFonts w:ascii="Arial" w:hAnsi="Arial" w:eastAsia="宋体"/>
                <w:b w:val="0"/>
                <w:sz w:val="21"/>
              </w:rPr>
              <w:t>电磁脉冲阀</w:t>
            </w:r>
          </w:p>
        </w:tc>
        <w:tc>
          <w:tcPr>
            <w:tcW w:w="2381" w:type="dxa"/>
            <w:vAlign w:val="center"/>
          </w:tcPr>
          <w:p w14:paraId="0D3278A7">
            <w:pPr>
              <w:pStyle w:val="164"/>
              <w:spacing w:before="40" w:after="40" w:line="240" w:lineRule="auto"/>
              <w:ind w:firstLine="0"/>
              <w:jc w:val="left"/>
            </w:pPr>
            <w:r>
              <w:rPr>
                <w:rFonts w:ascii="Arial" w:hAnsi="Arial" w:eastAsia="宋体"/>
                <w:b w:val="0"/>
                <w:sz w:val="21"/>
              </w:rPr>
              <w:t>2″</w:t>
            </w:r>
          </w:p>
        </w:tc>
        <w:tc>
          <w:tcPr>
            <w:tcW w:w="794" w:type="dxa"/>
            <w:vAlign w:val="center"/>
          </w:tcPr>
          <w:p w14:paraId="60202AFF">
            <w:pPr>
              <w:pStyle w:val="164"/>
              <w:spacing w:before="40" w:after="40" w:line="240" w:lineRule="auto"/>
              <w:ind w:firstLine="0"/>
              <w:jc w:val="center"/>
            </w:pPr>
            <w:r>
              <w:rPr>
                <w:rFonts w:ascii="Arial" w:hAnsi="Arial" w:eastAsia="宋体"/>
                <w:b w:val="0"/>
                <w:sz w:val="21"/>
              </w:rPr>
              <w:t>60</w:t>
            </w:r>
          </w:p>
        </w:tc>
        <w:tc>
          <w:tcPr>
            <w:tcW w:w="680" w:type="dxa"/>
            <w:vAlign w:val="center"/>
          </w:tcPr>
          <w:p w14:paraId="660C2017">
            <w:pPr>
              <w:pStyle w:val="164"/>
              <w:spacing w:before="40" w:after="40" w:line="240" w:lineRule="auto"/>
              <w:ind w:firstLine="0"/>
              <w:jc w:val="center"/>
            </w:pPr>
            <w:r>
              <w:rPr>
                <w:rFonts w:ascii="Arial" w:hAnsi="Arial" w:eastAsia="宋体"/>
                <w:b w:val="0"/>
                <w:sz w:val="21"/>
              </w:rPr>
              <w:t>个</w:t>
            </w:r>
          </w:p>
        </w:tc>
        <w:tc>
          <w:tcPr>
            <w:tcW w:w="1928" w:type="dxa"/>
            <w:vAlign w:val="center"/>
          </w:tcPr>
          <w:p w14:paraId="66951DF2">
            <w:pPr>
              <w:pStyle w:val="164"/>
              <w:spacing w:before="40" w:after="40" w:line="240" w:lineRule="auto"/>
              <w:ind w:firstLine="0"/>
              <w:jc w:val="left"/>
            </w:pPr>
            <w:r>
              <w:rPr>
                <w:rFonts w:ascii="Arial" w:hAnsi="Arial" w:eastAsia="宋体"/>
                <w:b w:val="0"/>
                <w:sz w:val="21"/>
              </w:rPr>
              <w:t>每套30个</w:t>
            </w:r>
          </w:p>
        </w:tc>
      </w:tr>
      <w:tr w14:paraId="5B8571B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4C22F7D8">
            <w:pPr>
              <w:pStyle w:val="164"/>
              <w:spacing w:before="40" w:after="40" w:line="240" w:lineRule="auto"/>
              <w:ind w:firstLine="0"/>
              <w:jc w:val="center"/>
            </w:pPr>
            <w:r>
              <w:rPr>
                <w:rFonts w:ascii="Arial" w:hAnsi="Arial" w:eastAsia="宋体"/>
                <w:b w:val="0"/>
                <w:sz w:val="21"/>
              </w:rPr>
              <w:t>5</w:t>
            </w:r>
          </w:p>
        </w:tc>
        <w:tc>
          <w:tcPr>
            <w:tcW w:w="2721" w:type="dxa"/>
            <w:vAlign w:val="center"/>
          </w:tcPr>
          <w:p w14:paraId="755A43DF">
            <w:pPr>
              <w:pStyle w:val="164"/>
              <w:spacing w:before="40" w:after="40" w:line="240" w:lineRule="auto"/>
              <w:ind w:firstLine="0"/>
              <w:jc w:val="left"/>
            </w:pPr>
            <w:r>
              <w:rPr>
                <w:rFonts w:ascii="Arial" w:hAnsi="Arial" w:eastAsia="宋体"/>
                <w:b w:val="0"/>
                <w:sz w:val="21"/>
              </w:rPr>
              <w:t>喷吹装置</w:t>
            </w:r>
          </w:p>
        </w:tc>
        <w:tc>
          <w:tcPr>
            <w:tcW w:w="2381" w:type="dxa"/>
            <w:vAlign w:val="center"/>
          </w:tcPr>
          <w:p w14:paraId="5D7A3BCA">
            <w:pPr>
              <w:pStyle w:val="164"/>
              <w:spacing w:before="40" w:after="40" w:line="240" w:lineRule="auto"/>
              <w:ind w:firstLine="0"/>
              <w:jc w:val="left"/>
            </w:pPr>
            <w:r>
              <w:rPr>
                <w:rFonts w:ascii="Arial" w:hAnsi="Arial" w:eastAsia="宋体"/>
                <w:b w:val="0"/>
                <w:sz w:val="21"/>
              </w:rPr>
              <w:t>2″</w:t>
            </w:r>
          </w:p>
        </w:tc>
        <w:tc>
          <w:tcPr>
            <w:tcW w:w="794" w:type="dxa"/>
            <w:vAlign w:val="center"/>
          </w:tcPr>
          <w:p w14:paraId="211F26F9">
            <w:pPr>
              <w:pStyle w:val="164"/>
              <w:spacing w:before="40" w:after="40" w:line="240" w:lineRule="auto"/>
              <w:ind w:firstLine="0"/>
              <w:jc w:val="center"/>
            </w:pPr>
            <w:r>
              <w:rPr>
                <w:rFonts w:ascii="Arial" w:hAnsi="Arial" w:eastAsia="宋体"/>
                <w:b w:val="0"/>
                <w:sz w:val="21"/>
              </w:rPr>
              <w:t>60</w:t>
            </w:r>
          </w:p>
        </w:tc>
        <w:tc>
          <w:tcPr>
            <w:tcW w:w="680" w:type="dxa"/>
            <w:vAlign w:val="center"/>
          </w:tcPr>
          <w:p w14:paraId="474235EF">
            <w:pPr>
              <w:pStyle w:val="164"/>
              <w:spacing w:before="40" w:after="40" w:line="240" w:lineRule="auto"/>
              <w:ind w:firstLine="0"/>
              <w:jc w:val="center"/>
            </w:pPr>
            <w:r>
              <w:rPr>
                <w:rFonts w:ascii="Arial" w:hAnsi="Arial" w:eastAsia="宋体"/>
                <w:b w:val="0"/>
                <w:sz w:val="21"/>
              </w:rPr>
              <w:t>套</w:t>
            </w:r>
          </w:p>
        </w:tc>
        <w:tc>
          <w:tcPr>
            <w:tcW w:w="1928" w:type="dxa"/>
            <w:vAlign w:val="center"/>
          </w:tcPr>
          <w:p w14:paraId="0F776573">
            <w:pPr>
              <w:pStyle w:val="164"/>
              <w:spacing w:before="40" w:after="40" w:line="240" w:lineRule="auto"/>
              <w:ind w:firstLine="0"/>
              <w:jc w:val="left"/>
            </w:pPr>
            <w:r>
              <w:rPr>
                <w:rFonts w:ascii="Arial" w:hAnsi="Arial" w:eastAsia="宋体"/>
                <w:b w:val="0"/>
                <w:sz w:val="21"/>
              </w:rPr>
              <w:t>每套30套</w:t>
            </w:r>
          </w:p>
        </w:tc>
      </w:tr>
      <w:tr w14:paraId="79AE81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3BB9CB88">
            <w:pPr>
              <w:pStyle w:val="164"/>
              <w:spacing w:before="40" w:after="40" w:line="240" w:lineRule="auto"/>
              <w:ind w:firstLine="0"/>
              <w:jc w:val="center"/>
            </w:pPr>
            <w:r>
              <w:rPr>
                <w:rFonts w:ascii="Arial" w:hAnsi="Arial" w:eastAsia="宋体"/>
                <w:b w:val="0"/>
                <w:sz w:val="21"/>
              </w:rPr>
              <w:t>6</w:t>
            </w:r>
          </w:p>
        </w:tc>
        <w:tc>
          <w:tcPr>
            <w:tcW w:w="2721" w:type="dxa"/>
            <w:vAlign w:val="center"/>
          </w:tcPr>
          <w:p w14:paraId="7AA7E65C">
            <w:pPr>
              <w:pStyle w:val="164"/>
              <w:spacing w:before="40" w:after="40" w:line="240" w:lineRule="auto"/>
              <w:ind w:firstLine="0"/>
              <w:jc w:val="left"/>
            </w:pPr>
            <w:r>
              <w:rPr>
                <w:rFonts w:ascii="Arial" w:hAnsi="Arial" w:eastAsia="宋体"/>
                <w:b w:val="0"/>
                <w:sz w:val="21"/>
              </w:rPr>
              <w:t>稳压气包</w:t>
            </w:r>
          </w:p>
        </w:tc>
        <w:tc>
          <w:tcPr>
            <w:tcW w:w="2381" w:type="dxa"/>
            <w:vAlign w:val="center"/>
          </w:tcPr>
          <w:p w14:paraId="0557D9E2">
            <w:pPr>
              <w:pStyle w:val="164"/>
              <w:spacing w:before="40" w:after="40" w:line="240" w:lineRule="auto"/>
              <w:ind w:firstLine="0"/>
              <w:jc w:val="left"/>
            </w:pPr>
            <w:r>
              <w:rPr>
                <w:rFonts w:ascii="Arial" w:hAnsi="Arial" w:eastAsia="宋体"/>
                <w:b w:val="0"/>
                <w:sz w:val="21"/>
              </w:rPr>
              <w:t>Φ219</w:t>
            </w:r>
          </w:p>
        </w:tc>
        <w:tc>
          <w:tcPr>
            <w:tcW w:w="794" w:type="dxa"/>
            <w:vAlign w:val="center"/>
          </w:tcPr>
          <w:p w14:paraId="14F7A38B">
            <w:pPr>
              <w:pStyle w:val="164"/>
              <w:spacing w:before="40" w:after="40" w:line="240" w:lineRule="auto"/>
              <w:ind w:firstLine="0"/>
              <w:jc w:val="center"/>
            </w:pPr>
            <w:r>
              <w:rPr>
                <w:rFonts w:ascii="Arial" w:hAnsi="Arial" w:eastAsia="宋体"/>
                <w:b w:val="0"/>
                <w:sz w:val="21"/>
              </w:rPr>
              <w:t>4</w:t>
            </w:r>
          </w:p>
        </w:tc>
        <w:tc>
          <w:tcPr>
            <w:tcW w:w="680" w:type="dxa"/>
            <w:vAlign w:val="center"/>
          </w:tcPr>
          <w:p w14:paraId="179D88D6">
            <w:pPr>
              <w:pStyle w:val="164"/>
              <w:spacing w:before="40" w:after="40" w:line="240" w:lineRule="auto"/>
              <w:ind w:firstLine="0"/>
              <w:jc w:val="center"/>
            </w:pPr>
            <w:r>
              <w:rPr>
                <w:rFonts w:ascii="Arial" w:hAnsi="Arial" w:eastAsia="宋体"/>
                <w:b w:val="0"/>
                <w:sz w:val="21"/>
              </w:rPr>
              <w:t>套</w:t>
            </w:r>
          </w:p>
        </w:tc>
        <w:tc>
          <w:tcPr>
            <w:tcW w:w="1928" w:type="dxa"/>
            <w:vAlign w:val="center"/>
          </w:tcPr>
          <w:p w14:paraId="4687D1EF">
            <w:pPr>
              <w:pStyle w:val="164"/>
              <w:spacing w:before="40" w:after="40" w:line="240" w:lineRule="auto"/>
              <w:ind w:firstLine="0"/>
              <w:jc w:val="left"/>
            </w:pPr>
            <w:r>
              <w:rPr>
                <w:rFonts w:ascii="Arial" w:hAnsi="Arial" w:eastAsia="宋体"/>
                <w:b w:val="0"/>
                <w:sz w:val="21"/>
              </w:rPr>
              <w:t>每套2套，进口设检修球阀</w:t>
            </w:r>
          </w:p>
        </w:tc>
      </w:tr>
      <w:tr w14:paraId="2CE4A65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0077C5BA">
            <w:pPr>
              <w:pStyle w:val="164"/>
              <w:spacing w:before="40" w:after="40" w:line="240" w:lineRule="auto"/>
              <w:ind w:firstLine="0"/>
              <w:jc w:val="center"/>
            </w:pPr>
            <w:r>
              <w:rPr>
                <w:rFonts w:ascii="Arial" w:hAnsi="Arial" w:eastAsia="宋体"/>
                <w:b w:val="0"/>
                <w:sz w:val="21"/>
              </w:rPr>
              <w:t>7</w:t>
            </w:r>
          </w:p>
        </w:tc>
        <w:tc>
          <w:tcPr>
            <w:tcW w:w="2721" w:type="dxa"/>
            <w:vAlign w:val="center"/>
          </w:tcPr>
          <w:p w14:paraId="0AD63982">
            <w:pPr>
              <w:pStyle w:val="164"/>
              <w:spacing w:before="40" w:after="40" w:line="240" w:lineRule="auto"/>
              <w:ind w:firstLine="0"/>
              <w:jc w:val="left"/>
            </w:pPr>
            <w:r>
              <w:rPr>
                <w:rFonts w:ascii="Arial" w:hAnsi="Arial" w:eastAsia="宋体"/>
                <w:b w:val="0"/>
                <w:sz w:val="21"/>
              </w:rPr>
              <w:t>翻板卸灰阀</w:t>
            </w:r>
          </w:p>
        </w:tc>
        <w:tc>
          <w:tcPr>
            <w:tcW w:w="2381" w:type="dxa"/>
            <w:vAlign w:val="center"/>
          </w:tcPr>
          <w:p w14:paraId="21C11CBD">
            <w:pPr>
              <w:pStyle w:val="164"/>
              <w:spacing w:before="40" w:after="40" w:line="240" w:lineRule="auto"/>
              <w:ind w:firstLine="0"/>
              <w:jc w:val="left"/>
            </w:pPr>
            <w:r>
              <w:rPr>
                <w:rFonts w:ascii="Arial" w:hAnsi="Arial" w:eastAsia="宋体"/>
                <w:b w:val="0"/>
                <w:sz w:val="21"/>
              </w:rPr>
              <w:t>300×300</w:t>
            </w:r>
          </w:p>
        </w:tc>
        <w:tc>
          <w:tcPr>
            <w:tcW w:w="794" w:type="dxa"/>
            <w:vAlign w:val="center"/>
          </w:tcPr>
          <w:p w14:paraId="437A63BD">
            <w:pPr>
              <w:pStyle w:val="164"/>
              <w:spacing w:before="40" w:after="40" w:line="240" w:lineRule="auto"/>
              <w:ind w:firstLine="0"/>
              <w:jc w:val="center"/>
            </w:pPr>
            <w:r>
              <w:rPr>
                <w:rFonts w:ascii="Arial" w:hAnsi="Arial" w:eastAsia="宋体"/>
                <w:b w:val="0"/>
                <w:sz w:val="21"/>
              </w:rPr>
              <w:t>4</w:t>
            </w:r>
          </w:p>
        </w:tc>
        <w:tc>
          <w:tcPr>
            <w:tcW w:w="680" w:type="dxa"/>
            <w:vAlign w:val="center"/>
          </w:tcPr>
          <w:p w14:paraId="08B9448B">
            <w:pPr>
              <w:pStyle w:val="164"/>
              <w:spacing w:before="40" w:after="40" w:line="240" w:lineRule="auto"/>
              <w:ind w:firstLine="0"/>
              <w:jc w:val="center"/>
            </w:pPr>
            <w:r>
              <w:rPr>
                <w:rFonts w:ascii="Arial" w:hAnsi="Arial" w:eastAsia="宋体"/>
                <w:b w:val="0"/>
                <w:sz w:val="21"/>
              </w:rPr>
              <w:t>台</w:t>
            </w:r>
          </w:p>
        </w:tc>
        <w:tc>
          <w:tcPr>
            <w:tcW w:w="1928" w:type="dxa"/>
            <w:vAlign w:val="center"/>
          </w:tcPr>
          <w:p w14:paraId="7F560E87">
            <w:pPr>
              <w:pStyle w:val="164"/>
              <w:spacing w:before="40" w:after="40" w:line="240" w:lineRule="auto"/>
              <w:ind w:firstLine="0"/>
              <w:jc w:val="left"/>
            </w:pPr>
            <w:r>
              <w:rPr>
                <w:rFonts w:ascii="Arial" w:hAnsi="Arial" w:eastAsia="宋体"/>
                <w:b w:val="0"/>
                <w:sz w:val="21"/>
              </w:rPr>
              <w:t>每套2台</w:t>
            </w:r>
          </w:p>
        </w:tc>
      </w:tr>
      <w:tr w14:paraId="248DC1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2C77E347">
            <w:pPr>
              <w:pStyle w:val="164"/>
              <w:spacing w:before="40" w:after="40" w:line="240" w:lineRule="auto"/>
              <w:ind w:firstLine="0"/>
              <w:jc w:val="center"/>
            </w:pPr>
            <w:r>
              <w:rPr>
                <w:rFonts w:ascii="Arial" w:hAnsi="Arial" w:eastAsia="宋体"/>
                <w:b w:val="0"/>
                <w:sz w:val="21"/>
              </w:rPr>
              <w:t>8</w:t>
            </w:r>
          </w:p>
        </w:tc>
        <w:tc>
          <w:tcPr>
            <w:tcW w:w="2721" w:type="dxa"/>
            <w:vAlign w:val="center"/>
          </w:tcPr>
          <w:p w14:paraId="18055C06">
            <w:pPr>
              <w:pStyle w:val="164"/>
              <w:spacing w:before="40" w:after="40" w:line="240" w:lineRule="auto"/>
              <w:ind w:firstLine="0"/>
              <w:jc w:val="left"/>
            </w:pPr>
            <w:r>
              <w:rPr>
                <w:rFonts w:ascii="Arial" w:hAnsi="Arial" w:eastAsia="宋体"/>
                <w:b w:val="0"/>
                <w:sz w:val="21"/>
              </w:rPr>
              <w:t>离心通风机</w:t>
            </w:r>
          </w:p>
        </w:tc>
        <w:tc>
          <w:tcPr>
            <w:tcW w:w="2381" w:type="dxa"/>
            <w:vAlign w:val="center"/>
          </w:tcPr>
          <w:p w14:paraId="0475D890">
            <w:pPr>
              <w:pStyle w:val="164"/>
              <w:spacing w:before="40" w:after="40" w:line="240" w:lineRule="auto"/>
              <w:ind w:firstLine="0"/>
              <w:jc w:val="left"/>
            </w:pPr>
            <w:r>
              <w:rPr>
                <w:rFonts w:ascii="Arial" w:hAnsi="Arial" w:eastAsia="宋体"/>
                <w:b w:val="0"/>
                <w:sz w:val="21"/>
              </w:rPr>
              <w:t>5-51-№11D（75kW变频）</w:t>
            </w:r>
          </w:p>
        </w:tc>
        <w:tc>
          <w:tcPr>
            <w:tcW w:w="794" w:type="dxa"/>
            <w:vAlign w:val="center"/>
          </w:tcPr>
          <w:p w14:paraId="4E8E2B78">
            <w:pPr>
              <w:pStyle w:val="164"/>
              <w:spacing w:before="40" w:after="40" w:line="240" w:lineRule="auto"/>
              <w:ind w:firstLine="0"/>
              <w:jc w:val="center"/>
            </w:pPr>
            <w:r>
              <w:rPr>
                <w:rFonts w:ascii="Arial" w:hAnsi="Arial" w:eastAsia="宋体"/>
                <w:b w:val="0"/>
                <w:sz w:val="21"/>
              </w:rPr>
              <w:t>2</w:t>
            </w:r>
          </w:p>
        </w:tc>
        <w:tc>
          <w:tcPr>
            <w:tcW w:w="680" w:type="dxa"/>
            <w:vAlign w:val="center"/>
          </w:tcPr>
          <w:p w14:paraId="4A7BF775">
            <w:pPr>
              <w:pStyle w:val="164"/>
              <w:spacing w:before="40" w:after="40" w:line="240" w:lineRule="auto"/>
              <w:ind w:firstLine="0"/>
              <w:jc w:val="center"/>
            </w:pPr>
            <w:r>
              <w:rPr>
                <w:rFonts w:ascii="Arial" w:hAnsi="Arial" w:eastAsia="宋体"/>
                <w:b w:val="0"/>
                <w:sz w:val="21"/>
              </w:rPr>
              <w:t>台</w:t>
            </w:r>
          </w:p>
        </w:tc>
        <w:tc>
          <w:tcPr>
            <w:tcW w:w="1928" w:type="dxa"/>
            <w:vAlign w:val="center"/>
          </w:tcPr>
          <w:p w14:paraId="6C3D5A93">
            <w:pPr>
              <w:pStyle w:val="164"/>
              <w:spacing w:before="40" w:after="40" w:line="240" w:lineRule="auto"/>
              <w:ind w:firstLine="0"/>
              <w:jc w:val="left"/>
            </w:pPr>
            <w:r>
              <w:rPr>
                <w:rFonts w:ascii="Arial" w:hAnsi="Arial" w:eastAsia="宋体"/>
                <w:b w:val="0"/>
                <w:sz w:val="21"/>
              </w:rPr>
              <w:t>与除尘器一一配套</w:t>
            </w:r>
          </w:p>
        </w:tc>
      </w:tr>
      <w:tr w14:paraId="69CF4EA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0FF3C88B">
            <w:pPr>
              <w:pStyle w:val="164"/>
              <w:spacing w:before="40" w:after="40" w:line="240" w:lineRule="auto"/>
              <w:ind w:firstLine="0"/>
              <w:jc w:val="center"/>
            </w:pPr>
            <w:r>
              <w:rPr>
                <w:rFonts w:ascii="Arial" w:hAnsi="Arial" w:eastAsia="宋体"/>
                <w:b w:val="0"/>
                <w:sz w:val="21"/>
              </w:rPr>
              <w:t>9</w:t>
            </w:r>
          </w:p>
        </w:tc>
        <w:tc>
          <w:tcPr>
            <w:tcW w:w="2721" w:type="dxa"/>
            <w:vAlign w:val="center"/>
          </w:tcPr>
          <w:p w14:paraId="617793BC">
            <w:pPr>
              <w:pStyle w:val="164"/>
              <w:spacing w:before="40" w:after="40" w:line="240" w:lineRule="auto"/>
              <w:ind w:firstLine="0"/>
              <w:jc w:val="left"/>
            </w:pPr>
            <w:r>
              <w:rPr>
                <w:rFonts w:ascii="Arial" w:hAnsi="Arial" w:eastAsia="宋体"/>
                <w:b w:val="0"/>
                <w:sz w:val="21"/>
              </w:rPr>
              <w:t>变频电控柜</w:t>
            </w:r>
          </w:p>
        </w:tc>
        <w:tc>
          <w:tcPr>
            <w:tcW w:w="2381" w:type="dxa"/>
            <w:vAlign w:val="center"/>
          </w:tcPr>
          <w:p w14:paraId="2EF9A6AA">
            <w:pPr>
              <w:pStyle w:val="164"/>
              <w:spacing w:before="40" w:after="40" w:line="240" w:lineRule="auto"/>
              <w:ind w:firstLine="0"/>
              <w:jc w:val="left"/>
            </w:pPr>
            <w:r>
              <w:rPr>
                <w:rFonts w:ascii="Arial" w:hAnsi="Arial" w:eastAsia="宋体"/>
                <w:b w:val="0"/>
                <w:sz w:val="21"/>
              </w:rPr>
              <w:t>变频启动</w:t>
            </w:r>
          </w:p>
        </w:tc>
        <w:tc>
          <w:tcPr>
            <w:tcW w:w="794" w:type="dxa"/>
            <w:vAlign w:val="center"/>
          </w:tcPr>
          <w:p w14:paraId="0404E233">
            <w:pPr>
              <w:pStyle w:val="164"/>
              <w:spacing w:before="40" w:after="40" w:line="240" w:lineRule="auto"/>
              <w:ind w:firstLine="0"/>
              <w:jc w:val="center"/>
            </w:pPr>
            <w:r>
              <w:rPr>
                <w:rFonts w:ascii="Arial" w:hAnsi="Arial" w:eastAsia="宋体"/>
                <w:b w:val="0"/>
                <w:sz w:val="21"/>
              </w:rPr>
              <w:t>2</w:t>
            </w:r>
          </w:p>
        </w:tc>
        <w:tc>
          <w:tcPr>
            <w:tcW w:w="680" w:type="dxa"/>
            <w:vAlign w:val="center"/>
          </w:tcPr>
          <w:p w14:paraId="306D047B">
            <w:pPr>
              <w:pStyle w:val="164"/>
              <w:spacing w:before="40" w:after="40" w:line="240" w:lineRule="auto"/>
              <w:ind w:firstLine="0"/>
              <w:jc w:val="center"/>
            </w:pPr>
            <w:r>
              <w:rPr>
                <w:rFonts w:ascii="Arial" w:hAnsi="Arial" w:eastAsia="宋体"/>
                <w:b w:val="0"/>
                <w:sz w:val="21"/>
              </w:rPr>
              <w:t>套</w:t>
            </w:r>
          </w:p>
        </w:tc>
        <w:tc>
          <w:tcPr>
            <w:tcW w:w="1928" w:type="dxa"/>
            <w:vAlign w:val="center"/>
          </w:tcPr>
          <w:p w14:paraId="5E94EE32">
            <w:pPr>
              <w:pStyle w:val="164"/>
              <w:spacing w:before="40" w:after="40" w:line="240" w:lineRule="auto"/>
              <w:ind w:firstLine="0"/>
              <w:jc w:val="left"/>
            </w:pPr>
            <w:r>
              <w:rPr>
                <w:rFonts w:ascii="Arial" w:hAnsi="Arial" w:eastAsia="宋体"/>
                <w:b w:val="0"/>
                <w:sz w:val="21"/>
              </w:rPr>
              <w:t>含控制柜至除尘器间电缆</w:t>
            </w:r>
          </w:p>
        </w:tc>
      </w:tr>
      <w:tr w14:paraId="28FA93D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7715B5FC">
            <w:pPr>
              <w:pStyle w:val="164"/>
              <w:spacing w:before="40" w:after="40" w:line="240" w:lineRule="auto"/>
              <w:ind w:firstLine="0"/>
              <w:jc w:val="center"/>
            </w:pPr>
            <w:r>
              <w:rPr>
                <w:rFonts w:ascii="Arial" w:hAnsi="Arial" w:eastAsia="宋体"/>
                <w:b w:val="0"/>
                <w:sz w:val="21"/>
              </w:rPr>
              <w:t>10</w:t>
            </w:r>
          </w:p>
        </w:tc>
        <w:tc>
          <w:tcPr>
            <w:tcW w:w="2721" w:type="dxa"/>
            <w:vAlign w:val="center"/>
          </w:tcPr>
          <w:p w14:paraId="0981D0BD">
            <w:pPr>
              <w:pStyle w:val="164"/>
              <w:spacing w:before="40" w:after="40" w:line="240" w:lineRule="auto"/>
              <w:ind w:firstLine="0"/>
              <w:jc w:val="left"/>
            </w:pPr>
            <w:r>
              <w:rPr>
                <w:rFonts w:ascii="Arial" w:hAnsi="Arial" w:eastAsia="宋体"/>
                <w:b w:val="0"/>
                <w:sz w:val="21"/>
              </w:rPr>
              <w:t>副翼式吸风罩</w:t>
            </w:r>
          </w:p>
        </w:tc>
        <w:tc>
          <w:tcPr>
            <w:tcW w:w="2381" w:type="dxa"/>
            <w:vAlign w:val="center"/>
          </w:tcPr>
          <w:p w14:paraId="4F686C35">
            <w:pPr>
              <w:pStyle w:val="164"/>
              <w:spacing w:before="40" w:after="40" w:line="240" w:lineRule="auto"/>
              <w:ind w:firstLine="0"/>
              <w:jc w:val="left"/>
            </w:pPr>
            <w:r>
              <w:rPr>
                <w:rFonts w:ascii="Arial" w:hAnsi="Arial" w:eastAsia="宋体"/>
                <w:b w:val="0"/>
                <w:sz w:val="21"/>
              </w:rPr>
              <w:t>12×1.1m</w:t>
            </w:r>
          </w:p>
        </w:tc>
        <w:tc>
          <w:tcPr>
            <w:tcW w:w="794" w:type="dxa"/>
            <w:vAlign w:val="center"/>
          </w:tcPr>
          <w:p w14:paraId="2CA1F319">
            <w:pPr>
              <w:pStyle w:val="164"/>
              <w:spacing w:before="40" w:after="40" w:line="240" w:lineRule="auto"/>
              <w:ind w:firstLine="0"/>
              <w:jc w:val="center"/>
            </w:pPr>
            <w:r>
              <w:rPr>
                <w:rFonts w:ascii="Arial" w:hAnsi="Arial" w:eastAsia="宋体"/>
                <w:b w:val="0"/>
                <w:sz w:val="21"/>
              </w:rPr>
              <w:t>20</w:t>
            </w:r>
          </w:p>
        </w:tc>
        <w:tc>
          <w:tcPr>
            <w:tcW w:w="680" w:type="dxa"/>
            <w:vAlign w:val="center"/>
          </w:tcPr>
          <w:p w14:paraId="1136DEDE">
            <w:pPr>
              <w:pStyle w:val="164"/>
              <w:spacing w:before="40" w:after="40" w:line="240" w:lineRule="auto"/>
              <w:ind w:firstLine="0"/>
              <w:jc w:val="center"/>
            </w:pPr>
            <w:r>
              <w:rPr>
                <w:rFonts w:ascii="Arial" w:hAnsi="Arial" w:eastAsia="宋体"/>
                <w:b w:val="0"/>
                <w:sz w:val="21"/>
              </w:rPr>
              <w:t>个</w:t>
            </w:r>
          </w:p>
        </w:tc>
        <w:tc>
          <w:tcPr>
            <w:tcW w:w="1928" w:type="dxa"/>
            <w:vAlign w:val="center"/>
          </w:tcPr>
          <w:p w14:paraId="20970C4D">
            <w:pPr>
              <w:pStyle w:val="164"/>
              <w:spacing w:before="40" w:after="40" w:line="240" w:lineRule="auto"/>
              <w:ind w:firstLine="0"/>
              <w:jc w:val="left"/>
            </w:pPr>
            <w:r>
              <w:rPr>
                <w:rFonts w:ascii="Arial" w:hAnsi="Arial" w:eastAsia="宋体"/>
                <w:b w:val="0"/>
                <w:sz w:val="21"/>
              </w:rPr>
              <w:t>含导流板与连接管</w:t>
            </w:r>
          </w:p>
        </w:tc>
      </w:tr>
      <w:tr w14:paraId="08D3C01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75F2F2F3">
            <w:pPr>
              <w:pStyle w:val="164"/>
              <w:spacing w:before="40" w:after="40" w:line="240" w:lineRule="auto"/>
              <w:ind w:firstLine="0"/>
              <w:jc w:val="center"/>
            </w:pPr>
            <w:r>
              <w:rPr>
                <w:rFonts w:ascii="Arial" w:hAnsi="Arial" w:eastAsia="宋体"/>
                <w:b w:val="0"/>
                <w:sz w:val="21"/>
              </w:rPr>
              <w:t>11</w:t>
            </w:r>
          </w:p>
        </w:tc>
        <w:tc>
          <w:tcPr>
            <w:tcW w:w="2721" w:type="dxa"/>
            <w:vAlign w:val="center"/>
          </w:tcPr>
          <w:p w14:paraId="24B974CE">
            <w:pPr>
              <w:pStyle w:val="164"/>
              <w:spacing w:before="40" w:after="40" w:line="240" w:lineRule="auto"/>
              <w:ind w:firstLine="0"/>
              <w:jc w:val="left"/>
            </w:pPr>
            <w:r>
              <w:rPr>
                <w:rFonts w:ascii="Arial" w:hAnsi="Arial" w:eastAsia="宋体"/>
                <w:b w:val="0"/>
                <w:sz w:val="21"/>
              </w:rPr>
              <w:t>防爆电动风阀</w:t>
            </w:r>
          </w:p>
        </w:tc>
        <w:tc>
          <w:tcPr>
            <w:tcW w:w="2381" w:type="dxa"/>
            <w:vAlign w:val="center"/>
          </w:tcPr>
          <w:p w14:paraId="60E156DE">
            <w:pPr>
              <w:pStyle w:val="164"/>
              <w:spacing w:before="40" w:after="40" w:line="240" w:lineRule="auto"/>
              <w:ind w:firstLine="0"/>
              <w:jc w:val="left"/>
            </w:pPr>
            <w:r>
              <w:rPr>
                <w:rFonts w:ascii="Arial" w:hAnsi="Arial" w:eastAsia="宋体"/>
                <w:b w:val="0"/>
                <w:sz w:val="21"/>
              </w:rPr>
              <w:t>DN500</w:t>
            </w:r>
          </w:p>
        </w:tc>
        <w:tc>
          <w:tcPr>
            <w:tcW w:w="794" w:type="dxa"/>
            <w:vAlign w:val="center"/>
          </w:tcPr>
          <w:p w14:paraId="6F7E69A9">
            <w:pPr>
              <w:pStyle w:val="164"/>
              <w:spacing w:before="40" w:after="40" w:line="240" w:lineRule="auto"/>
              <w:ind w:firstLine="0"/>
              <w:jc w:val="center"/>
            </w:pPr>
            <w:r>
              <w:rPr>
                <w:rFonts w:ascii="Arial" w:hAnsi="Arial" w:eastAsia="宋体"/>
                <w:b w:val="0"/>
                <w:sz w:val="21"/>
              </w:rPr>
              <w:t>10</w:t>
            </w:r>
          </w:p>
        </w:tc>
        <w:tc>
          <w:tcPr>
            <w:tcW w:w="680" w:type="dxa"/>
            <w:vAlign w:val="center"/>
          </w:tcPr>
          <w:p w14:paraId="0129533F">
            <w:pPr>
              <w:pStyle w:val="164"/>
              <w:spacing w:before="40" w:after="40" w:line="240" w:lineRule="auto"/>
              <w:ind w:firstLine="0"/>
              <w:jc w:val="center"/>
            </w:pPr>
            <w:r>
              <w:rPr>
                <w:rFonts w:ascii="Arial" w:hAnsi="Arial" w:eastAsia="宋体"/>
                <w:b w:val="0"/>
                <w:sz w:val="21"/>
              </w:rPr>
              <w:t>个</w:t>
            </w:r>
          </w:p>
        </w:tc>
        <w:tc>
          <w:tcPr>
            <w:tcW w:w="1928" w:type="dxa"/>
            <w:vAlign w:val="center"/>
          </w:tcPr>
          <w:p w14:paraId="79D38020">
            <w:pPr>
              <w:pStyle w:val="164"/>
              <w:spacing w:before="40" w:after="40" w:line="240" w:lineRule="auto"/>
              <w:ind w:firstLine="0"/>
              <w:jc w:val="left"/>
            </w:pPr>
            <w:r>
              <w:rPr>
                <w:rFonts w:ascii="Arial" w:hAnsi="Arial" w:eastAsia="宋体"/>
                <w:b w:val="0"/>
                <w:sz w:val="21"/>
              </w:rPr>
              <w:t>支管控制，手动/遥控</w:t>
            </w:r>
          </w:p>
        </w:tc>
      </w:tr>
      <w:tr w14:paraId="26132CA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51B7824F">
            <w:pPr>
              <w:pStyle w:val="164"/>
              <w:spacing w:before="40" w:after="40" w:line="240" w:lineRule="auto"/>
              <w:ind w:firstLine="0"/>
              <w:jc w:val="center"/>
            </w:pPr>
            <w:r>
              <w:rPr>
                <w:rFonts w:ascii="Arial" w:hAnsi="Arial" w:eastAsia="宋体"/>
                <w:b w:val="0"/>
                <w:sz w:val="21"/>
              </w:rPr>
              <w:t>12</w:t>
            </w:r>
          </w:p>
        </w:tc>
        <w:tc>
          <w:tcPr>
            <w:tcW w:w="2721" w:type="dxa"/>
            <w:vAlign w:val="center"/>
          </w:tcPr>
          <w:p w14:paraId="4EE96769">
            <w:pPr>
              <w:pStyle w:val="164"/>
              <w:spacing w:before="40" w:after="40" w:line="240" w:lineRule="auto"/>
              <w:ind w:firstLine="0"/>
              <w:jc w:val="left"/>
            </w:pPr>
            <w:r>
              <w:rPr>
                <w:rFonts w:ascii="Arial" w:hAnsi="Arial" w:eastAsia="宋体"/>
                <w:b w:val="0"/>
                <w:sz w:val="21"/>
              </w:rPr>
              <w:t>电动风阀控制系统</w:t>
            </w:r>
          </w:p>
        </w:tc>
        <w:tc>
          <w:tcPr>
            <w:tcW w:w="2381" w:type="dxa"/>
            <w:vAlign w:val="center"/>
          </w:tcPr>
          <w:p w14:paraId="09D26BB7">
            <w:pPr>
              <w:pStyle w:val="164"/>
              <w:spacing w:before="40" w:after="40" w:line="240" w:lineRule="auto"/>
              <w:ind w:firstLine="0"/>
              <w:jc w:val="left"/>
            </w:pPr>
            <w:r>
              <w:rPr>
                <w:rFonts w:ascii="Arial" w:hAnsi="Arial" w:eastAsia="宋体"/>
                <w:b w:val="0"/>
                <w:sz w:val="21"/>
              </w:rPr>
              <w:t>—</w:t>
            </w:r>
          </w:p>
        </w:tc>
        <w:tc>
          <w:tcPr>
            <w:tcW w:w="794" w:type="dxa"/>
            <w:vAlign w:val="center"/>
          </w:tcPr>
          <w:p w14:paraId="28DC4C17">
            <w:pPr>
              <w:pStyle w:val="164"/>
              <w:spacing w:before="40" w:after="40" w:line="240" w:lineRule="auto"/>
              <w:ind w:firstLine="0"/>
              <w:jc w:val="center"/>
            </w:pPr>
            <w:r>
              <w:rPr>
                <w:rFonts w:ascii="Arial" w:hAnsi="Arial" w:eastAsia="宋体"/>
                <w:b w:val="0"/>
                <w:sz w:val="21"/>
              </w:rPr>
              <w:t>1</w:t>
            </w:r>
          </w:p>
        </w:tc>
        <w:tc>
          <w:tcPr>
            <w:tcW w:w="680" w:type="dxa"/>
            <w:vAlign w:val="center"/>
          </w:tcPr>
          <w:p w14:paraId="663A045D">
            <w:pPr>
              <w:pStyle w:val="164"/>
              <w:spacing w:before="40" w:after="40" w:line="240" w:lineRule="auto"/>
              <w:ind w:firstLine="0"/>
              <w:jc w:val="center"/>
            </w:pPr>
            <w:r>
              <w:rPr>
                <w:rFonts w:ascii="Arial" w:hAnsi="Arial" w:eastAsia="宋体"/>
                <w:b w:val="0"/>
                <w:sz w:val="21"/>
              </w:rPr>
              <w:t>套</w:t>
            </w:r>
          </w:p>
        </w:tc>
        <w:tc>
          <w:tcPr>
            <w:tcW w:w="1928" w:type="dxa"/>
            <w:vAlign w:val="center"/>
          </w:tcPr>
          <w:p w14:paraId="7288E29D">
            <w:pPr>
              <w:pStyle w:val="164"/>
              <w:spacing w:before="40" w:after="40" w:line="240" w:lineRule="auto"/>
              <w:ind w:firstLine="0"/>
              <w:jc w:val="left"/>
            </w:pPr>
            <w:r>
              <w:rPr>
                <w:rFonts w:ascii="Arial" w:hAnsi="Arial" w:eastAsia="宋体"/>
                <w:b w:val="0"/>
                <w:sz w:val="21"/>
              </w:rPr>
              <w:t>含控制箱与联锁</w:t>
            </w:r>
          </w:p>
        </w:tc>
      </w:tr>
      <w:tr w14:paraId="069DC38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5BF1F6D7">
            <w:pPr>
              <w:pStyle w:val="164"/>
              <w:spacing w:before="40" w:after="40" w:line="240" w:lineRule="auto"/>
              <w:ind w:firstLine="0"/>
              <w:jc w:val="center"/>
            </w:pPr>
            <w:r>
              <w:rPr>
                <w:rFonts w:ascii="Arial" w:hAnsi="Arial" w:eastAsia="宋体"/>
                <w:b w:val="0"/>
                <w:sz w:val="21"/>
              </w:rPr>
              <w:t>13</w:t>
            </w:r>
          </w:p>
        </w:tc>
        <w:tc>
          <w:tcPr>
            <w:tcW w:w="2721" w:type="dxa"/>
            <w:vAlign w:val="center"/>
          </w:tcPr>
          <w:p w14:paraId="10DAA1B8">
            <w:pPr>
              <w:pStyle w:val="164"/>
              <w:spacing w:before="40" w:after="40" w:line="240" w:lineRule="auto"/>
              <w:ind w:firstLine="0"/>
              <w:jc w:val="left"/>
            </w:pPr>
            <w:r>
              <w:rPr>
                <w:rFonts w:ascii="Arial" w:hAnsi="Arial" w:eastAsia="宋体"/>
                <w:b w:val="0"/>
                <w:sz w:val="21"/>
              </w:rPr>
              <w:t>烟囱</w:t>
            </w:r>
          </w:p>
        </w:tc>
        <w:tc>
          <w:tcPr>
            <w:tcW w:w="2381" w:type="dxa"/>
            <w:vAlign w:val="center"/>
          </w:tcPr>
          <w:p w14:paraId="26C2840B">
            <w:pPr>
              <w:pStyle w:val="164"/>
              <w:spacing w:before="40" w:after="40" w:line="240" w:lineRule="auto"/>
              <w:ind w:firstLine="0"/>
              <w:jc w:val="left"/>
            </w:pPr>
            <w:r>
              <w:rPr>
                <w:rFonts w:ascii="Arial" w:hAnsi="Arial" w:eastAsia="宋体"/>
                <w:b w:val="0"/>
                <w:sz w:val="21"/>
              </w:rPr>
              <w:t>DN1200</w:t>
            </w:r>
          </w:p>
        </w:tc>
        <w:tc>
          <w:tcPr>
            <w:tcW w:w="794" w:type="dxa"/>
            <w:vAlign w:val="center"/>
          </w:tcPr>
          <w:p w14:paraId="24D6930D">
            <w:pPr>
              <w:pStyle w:val="164"/>
              <w:spacing w:before="40" w:after="40" w:line="240" w:lineRule="auto"/>
              <w:ind w:firstLine="0"/>
              <w:jc w:val="center"/>
            </w:pPr>
            <w:r>
              <w:rPr>
                <w:rFonts w:ascii="Arial" w:hAnsi="Arial" w:eastAsia="宋体"/>
                <w:b w:val="0"/>
                <w:sz w:val="21"/>
              </w:rPr>
              <w:t>15</w:t>
            </w:r>
          </w:p>
        </w:tc>
        <w:tc>
          <w:tcPr>
            <w:tcW w:w="680" w:type="dxa"/>
            <w:vAlign w:val="center"/>
          </w:tcPr>
          <w:p w14:paraId="005BC223">
            <w:pPr>
              <w:pStyle w:val="164"/>
              <w:spacing w:before="40" w:after="40" w:line="240" w:lineRule="auto"/>
              <w:ind w:firstLine="0"/>
              <w:jc w:val="center"/>
            </w:pPr>
            <w:r>
              <w:rPr>
                <w:rFonts w:ascii="Arial" w:hAnsi="Arial" w:eastAsia="宋体"/>
                <w:b w:val="0"/>
                <w:sz w:val="21"/>
              </w:rPr>
              <w:t>m</w:t>
            </w:r>
          </w:p>
        </w:tc>
        <w:tc>
          <w:tcPr>
            <w:tcW w:w="1928" w:type="dxa"/>
            <w:vAlign w:val="center"/>
          </w:tcPr>
          <w:p w14:paraId="5F431BEE">
            <w:pPr>
              <w:pStyle w:val="164"/>
              <w:spacing w:before="40" w:after="40" w:line="240" w:lineRule="auto"/>
              <w:ind w:firstLine="0"/>
              <w:jc w:val="left"/>
            </w:pPr>
            <w:r>
              <w:rPr>
                <w:rFonts w:ascii="Arial" w:hAnsi="Arial" w:eastAsia="宋体"/>
                <w:b w:val="0"/>
                <w:sz w:val="21"/>
              </w:rPr>
              <w:t>顶部设避雷针</w:t>
            </w:r>
          </w:p>
        </w:tc>
      </w:tr>
      <w:tr w14:paraId="0EC5564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000AC641">
            <w:pPr>
              <w:pStyle w:val="164"/>
              <w:spacing w:before="40" w:after="40" w:line="240" w:lineRule="auto"/>
              <w:ind w:firstLine="0"/>
              <w:jc w:val="center"/>
            </w:pPr>
            <w:r>
              <w:rPr>
                <w:rFonts w:ascii="Arial" w:hAnsi="Arial" w:eastAsia="宋体"/>
                <w:b w:val="0"/>
                <w:sz w:val="21"/>
              </w:rPr>
              <w:t>14</w:t>
            </w:r>
          </w:p>
        </w:tc>
        <w:tc>
          <w:tcPr>
            <w:tcW w:w="2721" w:type="dxa"/>
            <w:vAlign w:val="center"/>
          </w:tcPr>
          <w:p w14:paraId="0FE38100">
            <w:pPr>
              <w:pStyle w:val="164"/>
              <w:spacing w:before="40" w:after="40" w:line="240" w:lineRule="auto"/>
              <w:ind w:firstLine="0"/>
              <w:jc w:val="left"/>
            </w:pPr>
            <w:r>
              <w:rPr>
                <w:rFonts w:ascii="Arial" w:hAnsi="Arial" w:eastAsia="宋体"/>
                <w:b w:val="0"/>
                <w:sz w:val="21"/>
              </w:rPr>
              <w:t>除尘管道</w:t>
            </w:r>
          </w:p>
        </w:tc>
        <w:tc>
          <w:tcPr>
            <w:tcW w:w="2381" w:type="dxa"/>
            <w:vAlign w:val="center"/>
          </w:tcPr>
          <w:p w14:paraId="0197E78F">
            <w:pPr>
              <w:pStyle w:val="164"/>
              <w:spacing w:before="40" w:after="40" w:line="240" w:lineRule="auto"/>
              <w:ind w:firstLine="0"/>
              <w:jc w:val="left"/>
            </w:pPr>
            <w:r>
              <w:rPr>
                <w:rFonts w:ascii="Arial" w:hAnsi="Arial" w:eastAsia="宋体"/>
                <w:b w:val="0"/>
                <w:sz w:val="21"/>
              </w:rPr>
              <w:t>DN300～1000</w:t>
            </w:r>
          </w:p>
        </w:tc>
        <w:tc>
          <w:tcPr>
            <w:tcW w:w="794" w:type="dxa"/>
            <w:vAlign w:val="center"/>
          </w:tcPr>
          <w:p w14:paraId="67715E29">
            <w:pPr>
              <w:pStyle w:val="164"/>
              <w:spacing w:before="40" w:after="40" w:line="240" w:lineRule="auto"/>
              <w:ind w:firstLine="0"/>
              <w:jc w:val="center"/>
            </w:pPr>
            <w:r>
              <w:rPr>
                <w:rFonts w:ascii="Arial" w:hAnsi="Arial" w:eastAsia="宋体"/>
                <w:b w:val="0"/>
                <w:sz w:val="21"/>
              </w:rPr>
              <w:t>1</w:t>
            </w:r>
          </w:p>
        </w:tc>
        <w:tc>
          <w:tcPr>
            <w:tcW w:w="680" w:type="dxa"/>
            <w:vAlign w:val="center"/>
          </w:tcPr>
          <w:p w14:paraId="2627C123">
            <w:pPr>
              <w:pStyle w:val="164"/>
              <w:spacing w:before="40" w:after="40" w:line="240" w:lineRule="auto"/>
              <w:ind w:firstLine="0"/>
              <w:jc w:val="center"/>
            </w:pPr>
            <w:r>
              <w:rPr>
                <w:rFonts w:ascii="Arial" w:hAnsi="Arial" w:eastAsia="宋体"/>
                <w:b w:val="0"/>
                <w:sz w:val="21"/>
              </w:rPr>
              <w:t>批</w:t>
            </w:r>
          </w:p>
        </w:tc>
        <w:tc>
          <w:tcPr>
            <w:tcW w:w="1928" w:type="dxa"/>
            <w:vAlign w:val="center"/>
          </w:tcPr>
          <w:p w14:paraId="2CDE81EE">
            <w:pPr>
              <w:pStyle w:val="164"/>
              <w:spacing w:before="40" w:after="40" w:line="240" w:lineRule="auto"/>
              <w:ind w:firstLine="0"/>
              <w:jc w:val="left"/>
            </w:pPr>
            <w:r>
              <w:rPr>
                <w:rFonts w:ascii="Arial" w:hAnsi="Arial" w:eastAsia="宋体"/>
                <w:b w:val="0"/>
                <w:sz w:val="21"/>
              </w:rPr>
              <w:t>支管+主管，含支架</w:t>
            </w:r>
          </w:p>
        </w:tc>
      </w:tr>
      <w:tr w14:paraId="50AF51D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vAlign w:val="center"/>
          </w:tcPr>
          <w:p w14:paraId="07F70116">
            <w:pPr>
              <w:pStyle w:val="164"/>
              <w:spacing w:before="40" w:after="40" w:line="240" w:lineRule="auto"/>
              <w:ind w:firstLine="0"/>
              <w:jc w:val="center"/>
            </w:pPr>
            <w:r>
              <w:rPr>
                <w:rFonts w:ascii="Arial" w:hAnsi="Arial" w:eastAsia="宋体"/>
                <w:b w:val="0"/>
                <w:sz w:val="21"/>
              </w:rPr>
              <w:t>15</w:t>
            </w:r>
          </w:p>
        </w:tc>
        <w:tc>
          <w:tcPr>
            <w:tcW w:w="2721" w:type="dxa"/>
            <w:vAlign w:val="center"/>
          </w:tcPr>
          <w:p w14:paraId="22BC7E09">
            <w:pPr>
              <w:pStyle w:val="164"/>
              <w:spacing w:before="40" w:after="40" w:line="240" w:lineRule="auto"/>
              <w:ind w:firstLine="0"/>
              <w:jc w:val="left"/>
            </w:pPr>
            <w:r>
              <w:rPr>
                <w:rFonts w:ascii="Arial" w:hAnsi="Arial" w:eastAsia="宋体"/>
                <w:b w:val="0"/>
                <w:sz w:val="21"/>
              </w:rPr>
              <w:t>安装辅材</w:t>
            </w:r>
          </w:p>
        </w:tc>
        <w:tc>
          <w:tcPr>
            <w:tcW w:w="2381" w:type="dxa"/>
            <w:vAlign w:val="center"/>
          </w:tcPr>
          <w:p w14:paraId="3E691BAE">
            <w:pPr>
              <w:pStyle w:val="164"/>
              <w:spacing w:before="40" w:after="40" w:line="240" w:lineRule="auto"/>
              <w:ind w:firstLine="0"/>
              <w:jc w:val="left"/>
            </w:pPr>
            <w:r>
              <w:rPr>
                <w:rFonts w:ascii="Arial" w:hAnsi="Arial" w:eastAsia="宋体"/>
                <w:b w:val="0"/>
                <w:sz w:val="21"/>
              </w:rPr>
              <w:t>—</w:t>
            </w:r>
          </w:p>
        </w:tc>
        <w:tc>
          <w:tcPr>
            <w:tcW w:w="794" w:type="dxa"/>
            <w:vAlign w:val="center"/>
          </w:tcPr>
          <w:p w14:paraId="2CD2C0D5">
            <w:pPr>
              <w:pStyle w:val="164"/>
              <w:spacing w:before="40" w:after="40" w:line="240" w:lineRule="auto"/>
              <w:ind w:firstLine="0"/>
              <w:jc w:val="center"/>
            </w:pPr>
            <w:r>
              <w:rPr>
                <w:rFonts w:ascii="Arial" w:hAnsi="Arial" w:eastAsia="宋体"/>
                <w:b w:val="0"/>
                <w:sz w:val="21"/>
              </w:rPr>
              <w:t>1</w:t>
            </w:r>
          </w:p>
        </w:tc>
        <w:tc>
          <w:tcPr>
            <w:tcW w:w="680" w:type="dxa"/>
            <w:vAlign w:val="center"/>
          </w:tcPr>
          <w:p w14:paraId="4C89CA08">
            <w:pPr>
              <w:pStyle w:val="164"/>
              <w:spacing w:before="40" w:after="40" w:line="240" w:lineRule="auto"/>
              <w:ind w:firstLine="0"/>
              <w:jc w:val="center"/>
            </w:pPr>
            <w:r>
              <w:rPr>
                <w:rFonts w:ascii="Arial" w:hAnsi="Arial" w:eastAsia="宋体"/>
                <w:b w:val="0"/>
                <w:sz w:val="21"/>
              </w:rPr>
              <w:t>批</w:t>
            </w:r>
          </w:p>
        </w:tc>
        <w:tc>
          <w:tcPr>
            <w:tcW w:w="1928" w:type="dxa"/>
            <w:vAlign w:val="center"/>
          </w:tcPr>
          <w:p w14:paraId="2241BEC7">
            <w:pPr>
              <w:pStyle w:val="164"/>
              <w:spacing w:before="40" w:after="40" w:line="240" w:lineRule="auto"/>
              <w:ind w:firstLine="0"/>
              <w:jc w:val="left"/>
            </w:pPr>
            <w:r>
              <w:rPr>
                <w:rFonts w:ascii="Arial" w:hAnsi="Arial" w:eastAsia="宋体"/>
                <w:b w:val="0"/>
                <w:sz w:val="21"/>
              </w:rPr>
              <w:t>密封、紧固、保温等</w:t>
            </w:r>
          </w:p>
        </w:tc>
      </w:tr>
    </w:tbl>
    <w:p w14:paraId="0B8C5D79">
      <w:r>
        <w:rPr>
          <w:rFonts w:ascii="Arial" w:hAnsi="Arial" w:eastAsia="宋体"/>
          <w:b w:val="0"/>
          <w:sz w:val="24"/>
        </w:rPr>
        <w:t>注：风机电机按75 kW配置并采用变频启动，如系统实测阻力偏高，可升级为90 kW电机；具体配置以施工图设计与合同技术协议为准。</w:t>
      </w:r>
    </w:p>
    <w:p w14:paraId="36688949">
      <w:pPr>
        <w:pStyle w:val="4"/>
      </w:pPr>
      <w:r>
        <w:rPr>
          <w:rFonts w:ascii="Arial" w:hAnsi="Arial" w:eastAsia="黑体"/>
          <w:b/>
          <w:color w:val="000000"/>
          <w:sz w:val="28"/>
        </w:rPr>
        <w:t>6.4 设备选型与参数校核：关键参数自洽性验证</w:t>
      </w:r>
    </w:p>
    <w:p w14:paraId="0DFDA732">
      <w:r>
        <w:rPr>
          <w:rFonts w:ascii="Arial" w:hAnsi="Arial" w:eastAsia="宋体"/>
          <w:b w:val="0"/>
          <w:sz w:val="24"/>
        </w:rPr>
        <w:t>本工程核心参数满足自洽校核：过滤面积按滤袋规格复算，单套540条×φ133 mm×3.5 m×π≈789 m²，与总过滤面积一致；处理风量50000 m³/h与过滤面积789 m²的比值折算过滤风速约1.06 m/min，与设计值1.05 m/min一致；风机风量38000～51000 m³/h覆盖单套系统设计风量并留有裕量，全压3600～4600 Pa满足系统阻力（含除尘器、管道、罩口阻力）平衡要求。设备选型遵循“国内技术领先、经济合理”原则，参数之间不存在冲突。</w:t>
      </w:r>
    </w:p>
    <w:p w14:paraId="4907B7C0">
      <w:pPr>
        <w:pStyle w:val="3"/>
      </w:pPr>
      <w:r>
        <w:rPr>
          <w:rFonts w:ascii="Arial" w:hAnsi="Arial" w:eastAsia="黑体"/>
          <w:b/>
          <w:color w:val="000000"/>
          <w:sz w:val="32"/>
        </w:rPr>
        <w:t>7 施工组织与安装方案：标准化施工与落地保障</w:t>
      </w:r>
    </w:p>
    <w:p w14:paraId="669FD24A">
      <w:pPr>
        <w:pStyle w:val="4"/>
      </w:pPr>
      <w:r>
        <w:rPr>
          <w:rFonts w:ascii="Arial" w:hAnsi="Arial" w:eastAsia="黑体"/>
          <w:b/>
          <w:color w:val="000000"/>
          <w:sz w:val="28"/>
        </w:rPr>
        <w:t>7.1 施工总体部署：组织架构与工期排布</w:t>
      </w:r>
    </w:p>
    <w:p w14:paraId="3273D017">
      <w:r>
        <w:rPr>
          <w:rFonts w:ascii="Arial" w:hAnsi="Arial" w:eastAsia="宋体"/>
          <w:b w:val="0"/>
          <w:sz w:val="24"/>
        </w:rPr>
        <w:t>本工程采用项目负责制组织施工，设置项目经理、技术负责人、安全员、质检员与各专业施工班组，实行技术交底、材料进场检验、过程三检（自检、互检、专检）制度。施工总体流程为：施工准备→基础工程→设备安装→管道制作安装→电气安装→单机调试→系统联动调试→竣工验收，各工序按流水作业组织，关键路径工序（设备基础与本体安装）优先排布。</w:t>
      </w:r>
    </w:p>
    <w:p w14:paraId="74531659">
      <w:r>
        <w:rPr>
          <w:rFonts w:ascii="Arial" w:hAnsi="Arial" w:eastAsia="宋体"/>
          <w:b w:val="0"/>
          <w:sz w:val="24"/>
        </w:rPr>
        <w:t>工期排布按“分区分段、交叉作业、保障生产”原则确定：优先利用生产停产窗口与低负荷时段开展基础施工与大型设备吊装；设备安装、管道制作、电气安装等工序在具备条件的分区内并行推进；总工期在施工图深化后结合现场条件排定，并预留调试与整改周期。</w:t>
      </w:r>
    </w:p>
    <w:p w14:paraId="773B22BB">
      <w:pPr>
        <w:pStyle w:val="4"/>
      </w:pPr>
      <w:r>
        <w:rPr>
          <w:rFonts w:ascii="Arial" w:hAnsi="Arial" w:eastAsia="黑体"/>
          <w:b/>
          <w:color w:val="000000"/>
          <w:sz w:val="28"/>
        </w:rPr>
        <w:t>7.2 主要施工工序：基础、设备、管道、电气的标准化作业</w:t>
      </w:r>
    </w:p>
    <w:p w14:paraId="3F32F147">
      <w:r>
        <w:rPr>
          <w:rFonts w:ascii="Arial" w:hAnsi="Arial" w:eastAsia="宋体"/>
          <w:b w:val="0"/>
          <w:sz w:val="24"/>
        </w:rPr>
        <w:t>（1）基础工程：按设计图纸放线定位，浇筑除尘器、风机设备基础并预埋地脚螺栓与接地扁钢，基础强度达到设计要求后方可安装设备；烟囱基础同步施工并按抗风与防雷要求设置。</w:t>
      </w:r>
    </w:p>
    <w:p w14:paraId="74DDB11D">
      <w:r>
        <w:rPr>
          <w:rFonts w:ascii="Arial" w:hAnsi="Arial" w:eastAsia="宋体"/>
          <w:b w:val="0"/>
          <w:sz w:val="24"/>
        </w:rPr>
        <w:t>（2）设备安装：除尘器本体按“下箱体—中箱体—上箱体—喷吹系统—灰斗卸灰装置”顺序吊装组对，严格控制垂直度与水平度；滤袋与袋笼在系统试风前安装，安装过程防止滤袋划伤、受潮，袋笼与滤袋配合到位；风机安装采用减振基础，叶轮与机壳间隙调整到位，电机与风机同轴度满足规范要求，进出口设软连接。</w:t>
      </w:r>
    </w:p>
    <w:p w14:paraId="25A086C6">
      <w:r>
        <w:rPr>
          <w:rFonts w:ascii="Arial" w:hAnsi="Arial" w:eastAsia="宋体"/>
          <w:b w:val="0"/>
          <w:sz w:val="24"/>
        </w:rPr>
        <w:t>（3）管道制作安装：除尘管道按设计坡度与支架间距制作安装，法兰连接处采用密封垫片保证严密性；支管防爆电动风阀与管道法兰连接，阀体安装方向正确；管道支架固定牢靠，负压管道做严密性检查。</w:t>
      </w:r>
    </w:p>
    <w:p w14:paraId="6E884E60">
      <w:r>
        <w:rPr>
          <w:rFonts w:ascii="Arial" w:hAnsi="Arial" w:eastAsia="宋体"/>
          <w:b w:val="0"/>
          <w:sz w:val="24"/>
        </w:rPr>
        <w:t>（4）电气安装：变频电控柜、电动风阀执行器、粉尘监测报警装置按防爆区域电气要求选型与安装；穿管配线规范，电缆标识清晰；设备、管道、除尘器外壳做防静电接地，接地电阻满足设计要求。</w:t>
      </w:r>
    </w:p>
    <w:p w14:paraId="11C27201">
      <w:r>
        <w:rPr>
          <w:rFonts w:ascii="Arial" w:hAnsi="Arial" w:eastAsia="宋体"/>
          <w:b w:val="0"/>
          <w:sz w:val="24"/>
        </w:rPr>
        <w:t>（5）烟囱与避雷安装：烟囱分段吊装焊接，垂直度满足规范；顶部避雷针与接地装置可靠连接，接地电阻按设计要求检验。</w:t>
      </w:r>
    </w:p>
    <w:p w14:paraId="7F2DC12B">
      <w:pPr>
        <w:pStyle w:val="4"/>
      </w:pPr>
      <w:r>
        <w:rPr>
          <w:rFonts w:ascii="Arial" w:hAnsi="Arial" w:eastAsia="黑体"/>
          <w:b/>
          <w:color w:val="000000"/>
          <w:sz w:val="28"/>
        </w:rPr>
        <w:t>7.3 安装技术规范：设备找正、管线与防爆安装要求</w:t>
      </w:r>
    </w:p>
    <w:p w14:paraId="16BFB9FE">
      <w:r>
        <w:rPr>
          <w:rFonts w:ascii="Arial" w:hAnsi="Arial" w:eastAsia="宋体"/>
          <w:b w:val="0"/>
          <w:sz w:val="24"/>
        </w:rPr>
        <w:t>安装过程严格执行下列技术要点：除尘器本体安装垂直度偏差不大于规范允许值，各箱体法兰面密封良好不漏风；滤袋安装前清除箱体内杂物与尖锐毛刺，袋笼放入后袋口密封圈压紧到位；风机安装后盘车灵活、无卡阻，试运转方向正确，轴承温升与振动值满足设备技术文件要求；管道支吊架间距按管径确定，主风管坡度朝向卸灰方向，防止管内积灰；爆炸危险区域电气设备防爆等级满足GB 50058-2014要求，防静电接地与等电位联结完整可靠。</w:t>
      </w:r>
    </w:p>
    <w:p w14:paraId="313FBD50">
      <w:pPr>
        <w:pStyle w:val="4"/>
      </w:pPr>
      <w:r>
        <w:rPr>
          <w:rFonts w:ascii="Arial" w:hAnsi="Arial" w:eastAsia="黑体"/>
          <w:b/>
          <w:color w:val="000000"/>
          <w:sz w:val="28"/>
        </w:rPr>
        <w:t>7.4 施工安全与质量保证：过程控制与验收要点</w:t>
      </w:r>
    </w:p>
    <w:p w14:paraId="5748FA57">
      <w:r>
        <w:rPr>
          <w:rFonts w:ascii="Arial" w:hAnsi="Arial" w:eastAsia="宋体"/>
          <w:b w:val="0"/>
          <w:sz w:val="24"/>
        </w:rPr>
        <w:t>施工安全方面，重点管控高空作业、吊装作业、动火作业与临时用电：除尘器箱体与烟囱高空作业搭设合格脚手架并系挂安全带；大型设备吊装编制专项方案并履行审批；煤粉环境动火作业执行审批制度并配置灭火器材；临时用电执行三级配电两级保护。</w:t>
      </w:r>
    </w:p>
    <w:p w14:paraId="763C1D29">
      <w:r>
        <w:rPr>
          <w:rFonts w:ascii="Arial" w:hAnsi="Arial" w:eastAsia="宋体"/>
          <w:b w:val="0"/>
          <w:sz w:val="24"/>
        </w:rPr>
        <w:t>质量保证方面，实行材料进场检验、隐蔽工程验收、工序交接检制度：设备与材料具备合格证、检测报告；基础、接地、管道严密性等隐蔽工程经验收合格后方可覆盖；每道工序完工经专检合格后进入下道工序，安装质量全面对标HJ 2020-2012与设备技术文件要求。</w:t>
      </w:r>
    </w:p>
    <w:p w14:paraId="429CFFA0">
      <w:pPr>
        <w:pStyle w:val="4"/>
      </w:pPr>
      <w:r>
        <w:rPr>
          <w:rFonts w:ascii="Arial" w:hAnsi="Arial" w:eastAsia="黑体"/>
          <w:b/>
          <w:color w:val="000000"/>
          <w:sz w:val="28"/>
        </w:rPr>
        <w:t>7.5 施工重难点及对策：交叉作业与大件吊装管理</w:t>
      </w:r>
    </w:p>
    <w:p w14:paraId="5E313C48">
      <w:r>
        <w:rPr>
          <w:rFonts w:ascii="Arial" w:hAnsi="Arial" w:eastAsia="宋体"/>
          <w:b w:val="0"/>
          <w:sz w:val="24"/>
        </w:rPr>
        <w:t>本工程施工主要难点包括：一是在生产车间内施工，需与生产运行协调，采取分区分段施工、夜间或停产窗口作业，最大限度降低对生产的影响；二是除尘器本体与烟囱属大件、高空吊装，需复核吊装机械站位地基承载力并划定警戒区域；三是管道穿越生产区域，需做好既有设施保护与粉尘环境下的安全防护；四是煤粉环境动火风险高，严格执行动火审批、可燃粉尘清理与监护措施。以上难点均通过专项方案、过程旁站与验收把关予以解决，确保施工安全与安装质量。</w:t>
      </w:r>
    </w:p>
    <w:p w14:paraId="036DC1FA">
      <w:pPr>
        <w:pStyle w:val="3"/>
      </w:pPr>
      <w:r>
        <w:rPr>
          <w:rFonts w:ascii="Arial" w:hAnsi="Arial" w:eastAsia="黑体"/>
          <w:b/>
          <w:color w:val="000000"/>
          <w:sz w:val="32"/>
        </w:rPr>
        <w:t>8 设备调试方案：单机到系统的阶梯调试</w:t>
      </w:r>
    </w:p>
    <w:p w14:paraId="6423F437">
      <w:pPr>
        <w:pStyle w:val="4"/>
      </w:pPr>
      <w:r>
        <w:rPr>
          <w:rFonts w:ascii="Arial" w:hAnsi="Arial" w:eastAsia="黑体"/>
          <w:b/>
          <w:color w:val="000000"/>
          <w:sz w:val="28"/>
        </w:rPr>
        <w:t>8.1 调试准备：条件确认与方案交底</w:t>
      </w:r>
    </w:p>
    <w:p w14:paraId="18DF4335">
      <w:r>
        <w:rPr>
          <w:rFonts w:ascii="Arial" w:hAnsi="Arial" w:eastAsia="宋体"/>
          <w:b w:val="0"/>
          <w:sz w:val="24"/>
        </w:rPr>
        <w:t>调试前确认下列条件：全部设备安装完成并通过验收、电气接线与接地检查合格、压缩空气气源具备、除尘器内部清理完毕（滤袋安装到位、无遗留物）、现场具备安全照明与通讯条件。调试人员由安装单位、设备厂家与建设单位共同组成，调试前进行方案交底与安全技术交底，明确调试步骤、分工与应急处置措施。</w:t>
      </w:r>
    </w:p>
    <w:p w14:paraId="1503C5E4">
      <w:pPr>
        <w:pStyle w:val="4"/>
      </w:pPr>
      <w:r>
        <w:rPr>
          <w:rFonts w:ascii="Arial" w:hAnsi="Arial" w:eastAsia="黑体"/>
          <w:b/>
          <w:color w:val="000000"/>
          <w:sz w:val="28"/>
        </w:rPr>
        <w:t>8.2 单机调试：风机、清灰与电控系统逐项验证</w:t>
      </w:r>
    </w:p>
    <w:p w14:paraId="73D6BE21">
      <w:r>
        <w:rPr>
          <w:rFonts w:ascii="Arial" w:hAnsi="Arial" w:eastAsia="宋体"/>
          <w:b w:val="0"/>
          <w:sz w:val="24"/>
        </w:rPr>
        <w:t>（1）离心通风机：点动确认转向正确，连续运行检查振动、轴承温升、电流是否在额定范围内，记录启动电流与运行电流；变频调速功能逐段验证，确认频率—风量对应关系。</w:t>
      </w:r>
    </w:p>
    <w:p w14:paraId="70E7B0EA">
      <w:r>
        <w:rPr>
          <w:rFonts w:ascii="Arial" w:hAnsi="Arial" w:eastAsia="宋体"/>
          <w:b w:val="0"/>
          <w:sz w:val="24"/>
        </w:rPr>
        <w:t>（2）清灰系统：检查储气罐压力、减压阀出口压力（0.4～0.6 MPa）与稳压气包压力（喷吹0.25～0.4 MPa）；逐个手动触发脉冲阀，确认各阀动作顺序、喷吹压力与耗气量正常，无漏气现象。</w:t>
      </w:r>
    </w:p>
    <w:p w14:paraId="4A28D286">
      <w:r>
        <w:rPr>
          <w:rFonts w:ascii="Arial" w:hAnsi="Arial" w:eastAsia="宋体"/>
          <w:b w:val="0"/>
          <w:sz w:val="24"/>
        </w:rPr>
        <w:t>（3）防爆电动风阀：逐台验证开度调节、手动/遥控切换与限位保护功能，确认与电控系统联锁正常。</w:t>
      </w:r>
    </w:p>
    <w:p w14:paraId="30504065">
      <w:r>
        <w:rPr>
          <w:rFonts w:ascii="Arial" w:hAnsi="Arial" w:eastAsia="宋体"/>
          <w:b w:val="0"/>
          <w:sz w:val="24"/>
        </w:rPr>
        <w:t>（4）电控系统：验证变频启动柜参数设定、风机与风阀联锁、粉尘监测报警装置的报警阈值与动作输出，确认声光报警与联锁停机功能可靠。</w:t>
      </w:r>
    </w:p>
    <w:p w14:paraId="79075CB4">
      <w:pPr>
        <w:pStyle w:val="4"/>
      </w:pPr>
      <w:r>
        <w:rPr>
          <w:rFonts w:ascii="Arial" w:hAnsi="Arial" w:eastAsia="黑体"/>
          <w:b/>
          <w:color w:val="000000"/>
          <w:sz w:val="28"/>
        </w:rPr>
        <w:t>8.3 系统联动调试：风量平衡与性能考核</w:t>
      </w:r>
    </w:p>
    <w:p w14:paraId="7E9EA5BC">
      <w:r>
        <w:rPr>
          <w:rFonts w:ascii="Arial" w:hAnsi="Arial" w:eastAsia="宋体"/>
          <w:b w:val="0"/>
          <w:sz w:val="24"/>
        </w:rPr>
        <w:t>单机调试合格后进行系统联动调试：启动风机使系统投入运行，逐支管调节防爆电动风阀开度，测定各支管风速与风量，实现系统风量平衡与阻力平衡；观察除尘器进出口压差变化，整定脉冲清灰周期与喷吹压力，使设备阻力稳定在设计范围；在系统稳定运行工况下，委托具备CMA资质的检测机构对除尘器出口颗粒物浓度、除尘效率进行检测；系统连续稳定运行72 h无故障，作为联动调试合格与移交试运行的条件。</w:t>
      </w:r>
    </w:p>
    <w:p w14:paraId="0BD7F634">
      <w:pPr>
        <w:pStyle w:val="4"/>
      </w:pPr>
      <w:r>
        <w:rPr>
          <w:rFonts w:ascii="Arial" w:hAnsi="Arial" w:eastAsia="黑体"/>
          <w:b/>
          <w:color w:val="000000"/>
          <w:sz w:val="28"/>
        </w:rPr>
        <w:t>8.4 调试验收指标：以数据判定系统合格</w:t>
      </w:r>
    </w:p>
    <w:p w14:paraId="60CBF4F1">
      <w:pPr>
        <w:pStyle w:val="15"/>
      </w:pPr>
      <w:r>
        <w:rPr>
          <w:rFonts w:ascii="Arial" w:hAnsi="Arial" w:eastAsia="宋体"/>
          <w:b w:val="0"/>
          <w:color w:val="000000"/>
          <w:sz w:val="21"/>
        </w:rPr>
        <w:t>表7 调试验收与环保验收检测指标</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4A80F8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680" w:type="dxa"/>
            <w:shd w:val="clear" w:color="auto" w:fill="D9D9D9"/>
            <w:vAlign w:val="center"/>
          </w:tcPr>
          <w:p w14:paraId="76AD513C">
            <w:pPr>
              <w:pStyle w:val="164"/>
              <w:spacing w:before="40" w:after="40" w:line="240" w:lineRule="auto"/>
              <w:ind w:firstLine="0"/>
              <w:jc w:val="center"/>
            </w:pPr>
            <w:r>
              <w:rPr>
                <w:rFonts w:ascii="Arial" w:hAnsi="Arial" w:eastAsia="宋体"/>
                <w:b/>
                <w:sz w:val="21"/>
              </w:rPr>
              <w:t>序号</w:t>
            </w:r>
          </w:p>
        </w:tc>
        <w:tc>
          <w:tcPr>
            <w:tcW w:w="2721" w:type="dxa"/>
            <w:shd w:val="clear" w:color="auto" w:fill="D9D9D9"/>
            <w:vAlign w:val="center"/>
          </w:tcPr>
          <w:p w14:paraId="6EEB3BD8">
            <w:pPr>
              <w:pStyle w:val="164"/>
              <w:spacing w:before="40" w:after="40" w:line="240" w:lineRule="auto"/>
              <w:ind w:firstLine="0"/>
              <w:jc w:val="center"/>
            </w:pPr>
            <w:r>
              <w:rPr>
                <w:rFonts w:ascii="Arial" w:hAnsi="Arial" w:eastAsia="宋体"/>
                <w:b/>
                <w:sz w:val="21"/>
              </w:rPr>
              <w:t>检验项目</w:t>
            </w:r>
          </w:p>
        </w:tc>
        <w:tc>
          <w:tcPr>
            <w:tcW w:w="2835" w:type="dxa"/>
            <w:shd w:val="clear" w:color="auto" w:fill="D9D9D9"/>
            <w:vAlign w:val="center"/>
          </w:tcPr>
          <w:p w14:paraId="24156F08">
            <w:pPr>
              <w:pStyle w:val="164"/>
              <w:spacing w:before="40" w:after="40" w:line="240" w:lineRule="auto"/>
              <w:ind w:firstLine="0"/>
              <w:jc w:val="center"/>
            </w:pPr>
            <w:r>
              <w:rPr>
                <w:rFonts w:ascii="Arial" w:hAnsi="Arial" w:eastAsia="宋体"/>
                <w:b/>
                <w:sz w:val="21"/>
              </w:rPr>
              <w:t>指标要求</w:t>
            </w:r>
          </w:p>
        </w:tc>
        <w:tc>
          <w:tcPr>
            <w:tcW w:w="2835" w:type="dxa"/>
            <w:shd w:val="clear" w:color="auto" w:fill="D9D9D9"/>
            <w:vAlign w:val="center"/>
          </w:tcPr>
          <w:p w14:paraId="516BB41C">
            <w:pPr>
              <w:pStyle w:val="164"/>
              <w:spacing w:before="40" w:after="40" w:line="240" w:lineRule="auto"/>
              <w:ind w:firstLine="0"/>
              <w:jc w:val="center"/>
            </w:pPr>
            <w:r>
              <w:rPr>
                <w:rFonts w:ascii="Arial" w:hAnsi="Arial" w:eastAsia="宋体"/>
                <w:b/>
                <w:sz w:val="21"/>
              </w:rPr>
              <w:t>检验方法</w:t>
            </w:r>
          </w:p>
        </w:tc>
      </w:tr>
      <w:tr w14:paraId="6D55491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697826B">
            <w:pPr>
              <w:pStyle w:val="164"/>
              <w:spacing w:before="40" w:after="40" w:line="240" w:lineRule="auto"/>
              <w:ind w:firstLine="0"/>
              <w:jc w:val="center"/>
            </w:pPr>
            <w:r>
              <w:rPr>
                <w:rFonts w:ascii="Arial" w:hAnsi="Arial" w:eastAsia="宋体"/>
                <w:b w:val="0"/>
                <w:sz w:val="21"/>
              </w:rPr>
              <w:t>1</w:t>
            </w:r>
          </w:p>
        </w:tc>
        <w:tc>
          <w:tcPr>
            <w:tcW w:w="2721" w:type="dxa"/>
            <w:vAlign w:val="center"/>
          </w:tcPr>
          <w:p w14:paraId="0EE508A9">
            <w:pPr>
              <w:pStyle w:val="164"/>
              <w:spacing w:before="40" w:after="40" w:line="240" w:lineRule="auto"/>
              <w:ind w:firstLine="0"/>
              <w:jc w:val="left"/>
            </w:pPr>
            <w:r>
              <w:rPr>
                <w:rFonts w:ascii="Arial" w:hAnsi="Arial" w:eastAsia="宋体"/>
                <w:b w:val="0"/>
                <w:sz w:val="21"/>
              </w:rPr>
              <w:t>系统处理风量</w:t>
            </w:r>
          </w:p>
        </w:tc>
        <w:tc>
          <w:tcPr>
            <w:tcW w:w="2835" w:type="dxa"/>
            <w:vAlign w:val="center"/>
          </w:tcPr>
          <w:p w14:paraId="6FDA207B">
            <w:pPr>
              <w:pStyle w:val="164"/>
              <w:spacing w:before="40" w:after="40" w:line="240" w:lineRule="auto"/>
              <w:ind w:firstLine="0"/>
              <w:jc w:val="left"/>
            </w:pPr>
            <w:r>
              <w:rPr>
                <w:rFonts w:ascii="Arial" w:hAnsi="Arial" w:eastAsia="宋体"/>
                <w:b w:val="0"/>
                <w:sz w:val="21"/>
              </w:rPr>
              <w:t>50000 m³/h·套（±10%）</w:t>
            </w:r>
          </w:p>
        </w:tc>
        <w:tc>
          <w:tcPr>
            <w:tcW w:w="2835" w:type="dxa"/>
            <w:vAlign w:val="center"/>
          </w:tcPr>
          <w:p w14:paraId="63B029D4">
            <w:pPr>
              <w:pStyle w:val="164"/>
              <w:spacing w:before="40" w:after="40" w:line="240" w:lineRule="auto"/>
              <w:ind w:firstLine="0"/>
              <w:jc w:val="left"/>
            </w:pPr>
            <w:r>
              <w:rPr>
                <w:rFonts w:ascii="Arial" w:hAnsi="Arial" w:eastAsia="宋体"/>
                <w:b w:val="0"/>
                <w:sz w:val="21"/>
              </w:rPr>
              <w:t>风量计/皮托管实测</w:t>
            </w:r>
          </w:p>
        </w:tc>
      </w:tr>
      <w:tr w14:paraId="2AB78E6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255A26B8">
            <w:pPr>
              <w:pStyle w:val="164"/>
              <w:spacing w:before="40" w:after="40" w:line="240" w:lineRule="auto"/>
              <w:ind w:firstLine="0"/>
              <w:jc w:val="center"/>
            </w:pPr>
            <w:r>
              <w:rPr>
                <w:rFonts w:ascii="Arial" w:hAnsi="Arial" w:eastAsia="宋体"/>
                <w:b w:val="0"/>
                <w:sz w:val="21"/>
              </w:rPr>
              <w:t>2</w:t>
            </w:r>
          </w:p>
        </w:tc>
        <w:tc>
          <w:tcPr>
            <w:tcW w:w="2721" w:type="dxa"/>
            <w:vAlign w:val="center"/>
          </w:tcPr>
          <w:p w14:paraId="2E20705B">
            <w:pPr>
              <w:pStyle w:val="164"/>
              <w:spacing w:before="40" w:after="40" w:line="240" w:lineRule="auto"/>
              <w:ind w:firstLine="0"/>
              <w:jc w:val="left"/>
            </w:pPr>
            <w:r>
              <w:rPr>
                <w:rFonts w:ascii="Arial" w:hAnsi="Arial" w:eastAsia="宋体"/>
                <w:b w:val="0"/>
                <w:sz w:val="21"/>
              </w:rPr>
              <w:t>除尘器出口颗粒物浓度</w:t>
            </w:r>
          </w:p>
        </w:tc>
        <w:tc>
          <w:tcPr>
            <w:tcW w:w="2835" w:type="dxa"/>
            <w:vAlign w:val="center"/>
          </w:tcPr>
          <w:p w14:paraId="4FD4BA4B">
            <w:pPr>
              <w:pStyle w:val="164"/>
              <w:spacing w:before="40" w:after="40" w:line="240" w:lineRule="auto"/>
              <w:ind w:firstLine="0"/>
              <w:jc w:val="left"/>
            </w:pPr>
            <w:r>
              <w:rPr>
                <w:rFonts w:ascii="Arial" w:hAnsi="Arial" w:eastAsia="宋体"/>
                <w:b w:val="0"/>
                <w:sz w:val="21"/>
              </w:rPr>
              <w:t>≤20 mg/Nm³</w:t>
            </w:r>
          </w:p>
        </w:tc>
        <w:tc>
          <w:tcPr>
            <w:tcW w:w="2835" w:type="dxa"/>
            <w:vAlign w:val="center"/>
          </w:tcPr>
          <w:p w14:paraId="3925E4FF">
            <w:pPr>
              <w:pStyle w:val="164"/>
              <w:spacing w:before="40" w:after="40" w:line="240" w:lineRule="auto"/>
              <w:ind w:firstLine="0"/>
              <w:jc w:val="left"/>
            </w:pPr>
            <w:r>
              <w:rPr>
                <w:rFonts w:ascii="Arial" w:hAnsi="Arial" w:eastAsia="宋体"/>
                <w:b w:val="0"/>
                <w:sz w:val="21"/>
              </w:rPr>
              <w:t>GB/T 16157采样，CMA检测</w:t>
            </w:r>
          </w:p>
        </w:tc>
      </w:tr>
      <w:tr w14:paraId="0C14B0F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908EB2C">
            <w:pPr>
              <w:pStyle w:val="164"/>
              <w:spacing w:before="40" w:after="40" w:line="240" w:lineRule="auto"/>
              <w:ind w:firstLine="0"/>
              <w:jc w:val="center"/>
            </w:pPr>
            <w:r>
              <w:rPr>
                <w:rFonts w:ascii="Arial" w:hAnsi="Arial" w:eastAsia="宋体"/>
                <w:b w:val="0"/>
                <w:sz w:val="21"/>
              </w:rPr>
              <w:t>3</w:t>
            </w:r>
          </w:p>
        </w:tc>
        <w:tc>
          <w:tcPr>
            <w:tcW w:w="2721" w:type="dxa"/>
            <w:vAlign w:val="center"/>
          </w:tcPr>
          <w:p w14:paraId="38274E8D">
            <w:pPr>
              <w:pStyle w:val="164"/>
              <w:spacing w:before="40" w:after="40" w:line="240" w:lineRule="auto"/>
              <w:ind w:firstLine="0"/>
              <w:jc w:val="left"/>
            </w:pPr>
            <w:r>
              <w:rPr>
                <w:rFonts w:ascii="Arial" w:hAnsi="Arial" w:eastAsia="宋体"/>
                <w:b w:val="0"/>
                <w:sz w:val="21"/>
              </w:rPr>
              <w:t>除尘效率</w:t>
            </w:r>
          </w:p>
        </w:tc>
        <w:tc>
          <w:tcPr>
            <w:tcW w:w="2835" w:type="dxa"/>
            <w:vAlign w:val="center"/>
          </w:tcPr>
          <w:p w14:paraId="6A9533C1">
            <w:pPr>
              <w:pStyle w:val="164"/>
              <w:spacing w:before="40" w:after="40" w:line="240" w:lineRule="auto"/>
              <w:ind w:firstLine="0"/>
              <w:jc w:val="left"/>
            </w:pPr>
            <w:r>
              <w:rPr>
                <w:rFonts w:ascii="Arial" w:hAnsi="Arial" w:eastAsia="宋体"/>
                <w:b w:val="0"/>
                <w:sz w:val="21"/>
              </w:rPr>
              <w:t>≥99.9%</w:t>
            </w:r>
          </w:p>
        </w:tc>
        <w:tc>
          <w:tcPr>
            <w:tcW w:w="2835" w:type="dxa"/>
            <w:vAlign w:val="center"/>
          </w:tcPr>
          <w:p w14:paraId="21E55249">
            <w:pPr>
              <w:pStyle w:val="164"/>
              <w:spacing w:before="40" w:after="40" w:line="240" w:lineRule="auto"/>
              <w:ind w:firstLine="0"/>
              <w:jc w:val="left"/>
            </w:pPr>
            <w:r>
              <w:rPr>
                <w:rFonts w:ascii="Arial" w:hAnsi="Arial" w:eastAsia="宋体"/>
                <w:b w:val="0"/>
                <w:sz w:val="21"/>
              </w:rPr>
              <w:t>进、出风侧同步采样计算</w:t>
            </w:r>
          </w:p>
        </w:tc>
      </w:tr>
      <w:tr w14:paraId="13433EC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0FD16E33">
            <w:pPr>
              <w:pStyle w:val="164"/>
              <w:spacing w:before="40" w:after="40" w:line="240" w:lineRule="auto"/>
              <w:ind w:firstLine="0"/>
              <w:jc w:val="center"/>
            </w:pPr>
            <w:r>
              <w:rPr>
                <w:rFonts w:ascii="Arial" w:hAnsi="Arial" w:eastAsia="宋体"/>
                <w:b w:val="0"/>
                <w:sz w:val="21"/>
              </w:rPr>
              <w:t>4</w:t>
            </w:r>
          </w:p>
        </w:tc>
        <w:tc>
          <w:tcPr>
            <w:tcW w:w="2721" w:type="dxa"/>
            <w:vAlign w:val="center"/>
          </w:tcPr>
          <w:p w14:paraId="5F2D8DAC">
            <w:pPr>
              <w:pStyle w:val="164"/>
              <w:spacing w:before="40" w:after="40" w:line="240" w:lineRule="auto"/>
              <w:ind w:firstLine="0"/>
              <w:jc w:val="left"/>
            </w:pPr>
            <w:r>
              <w:rPr>
                <w:rFonts w:ascii="Arial" w:hAnsi="Arial" w:eastAsia="宋体"/>
                <w:b w:val="0"/>
                <w:sz w:val="21"/>
              </w:rPr>
              <w:t>设备运行阻力（清灰后）</w:t>
            </w:r>
          </w:p>
        </w:tc>
        <w:tc>
          <w:tcPr>
            <w:tcW w:w="2835" w:type="dxa"/>
            <w:vAlign w:val="center"/>
          </w:tcPr>
          <w:p w14:paraId="5F738857">
            <w:pPr>
              <w:pStyle w:val="164"/>
              <w:spacing w:before="40" w:after="40" w:line="240" w:lineRule="auto"/>
              <w:ind w:firstLine="0"/>
              <w:jc w:val="left"/>
            </w:pPr>
            <w:r>
              <w:rPr>
                <w:rFonts w:ascii="Arial" w:hAnsi="Arial" w:eastAsia="宋体"/>
                <w:b w:val="0"/>
                <w:sz w:val="21"/>
              </w:rPr>
              <w:t>≤1500 Pa</w:t>
            </w:r>
          </w:p>
        </w:tc>
        <w:tc>
          <w:tcPr>
            <w:tcW w:w="2835" w:type="dxa"/>
            <w:vAlign w:val="center"/>
          </w:tcPr>
          <w:p w14:paraId="42AA2F3E">
            <w:pPr>
              <w:pStyle w:val="164"/>
              <w:spacing w:before="40" w:after="40" w:line="240" w:lineRule="auto"/>
              <w:ind w:firstLine="0"/>
              <w:jc w:val="left"/>
            </w:pPr>
            <w:r>
              <w:rPr>
                <w:rFonts w:ascii="Arial" w:hAnsi="Arial" w:eastAsia="宋体"/>
                <w:b w:val="0"/>
                <w:sz w:val="21"/>
              </w:rPr>
              <w:t>压差计读取</w:t>
            </w:r>
          </w:p>
        </w:tc>
      </w:tr>
      <w:tr w14:paraId="4561356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13544C4E">
            <w:pPr>
              <w:pStyle w:val="164"/>
              <w:spacing w:before="40" w:after="40" w:line="240" w:lineRule="auto"/>
              <w:ind w:firstLine="0"/>
              <w:jc w:val="center"/>
            </w:pPr>
            <w:r>
              <w:rPr>
                <w:rFonts w:ascii="Arial" w:hAnsi="Arial" w:eastAsia="宋体"/>
                <w:b w:val="0"/>
                <w:sz w:val="21"/>
              </w:rPr>
              <w:t>5</w:t>
            </w:r>
          </w:p>
        </w:tc>
        <w:tc>
          <w:tcPr>
            <w:tcW w:w="2721" w:type="dxa"/>
            <w:vAlign w:val="center"/>
          </w:tcPr>
          <w:p w14:paraId="2F59E0E5">
            <w:pPr>
              <w:pStyle w:val="164"/>
              <w:spacing w:before="40" w:after="40" w:line="240" w:lineRule="auto"/>
              <w:ind w:firstLine="0"/>
              <w:jc w:val="left"/>
            </w:pPr>
            <w:r>
              <w:rPr>
                <w:rFonts w:ascii="Arial" w:hAnsi="Arial" w:eastAsia="宋体"/>
                <w:b w:val="0"/>
                <w:sz w:val="21"/>
              </w:rPr>
              <w:t>漏风率</w:t>
            </w:r>
          </w:p>
        </w:tc>
        <w:tc>
          <w:tcPr>
            <w:tcW w:w="2835" w:type="dxa"/>
            <w:vAlign w:val="center"/>
          </w:tcPr>
          <w:p w14:paraId="178B03E6">
            <w:pPr>
              <w:pStyle w:val="164"/>
              <w:spacing w:before="40" w:after="40" w:line="240" w:lineRule="auto"/>
              <w:ind w:firstLine="0"/>
              <w:jc w:val="left"/>
            </w:pPr>
            <w:r>
              <w:rPr>
                <w:rFonts w:ascii="Arial" w:hAnsi="Arial" w:eastAsia="宋体"/>
                <w:b w:val="0"/>
                <w:sz w:val="21"/>
              </w:rPr>
              <w:t>≤5%</w:t>
            </w:r>
          </w:p>
        </w:tc>
        <w:tc>
          <w:tcPr>
            <w:tcW w:w="2835" w:type="dxa"/>
            <w:vAlign w:val="center"/>
          </w:tcPr>
          <w:p w14:paraId="16EB70AD">
            <w:pPr>
              <w:pStyle w:val="164"/>
              <w:spacing w:before="40" w:after="40" w:line="240" w:lineRule="auto"/>
              <w:ind w:firstLine="0"/>
              <w:jc w:val="left"/>
            </w:pPr>
            <w:r>
              <w:rPr>
                <w:rFonts w:ascii="Arial" w:hAnsi="Arial" w:eastAsia="宋体"/>
                <w:b w:val="0"/>
                <w:sz w:val="21"/>
              </w:rPr>
              <w:t>风量平衡法</w:t>
            </w:r>
          </w:p>
        </w:tc>
      </w:tr>
      <w:tr w14:paraId="4DFA100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7E255C5D">
            <w:pPr>
              <w:pStyle w:val="164"/>
              <w:spacing w:before="40" w:after="40" w:line="240" w:lineRule="auto"/>
              <w:ind w:firstLine="0"/>
              <w:jc w:val="center"/>
            </w:pPr>
            <w:r>
              <w:rPr>
                <w:rFonts w:ascii="Arial" w:hAnsi="Arial" w:eastAsia="宋体"/>
                <w:b w:val="0"/>
                <w:sz w:val="21"/>
              </w:rPr>
              <w:t>6</w:t>
            </w:r>
          </w:p>
        </w:tc>
        <w:tc>
          <w:tcPr>
            <w:tcW w:w="2721" w:type="dxa"/>
            <w:vAlign w:val="center"/>
          </w:tcPr>
          <w:p w14:paraId="24EB6B19">
            <w:pPr>
              <w:pStyle w:val="164"/>
              <w:spacing w:before="40" w:after="40" w:line="240" w:lineRule="auto"/>
              <w:ind w:firstLine="0"/>
              <w:jc w:val="left"/>
            </w:pPr>
            <w:r>
              <w:rPr>
                <w:rFonts w:ascii="Arial" w:hAnsi="Arial" w:eastAsia="宋体"/>
                <w:b w:val="0"/>
                <w:sz w:val="21"/>
              </w:rPr>
              <w:t>车间岗位粉尘浓度</w:t>
            </w:r>
          </w:p>
        </w:tc>
        <w:tc>
          <w:tcPr>
            <w:tcW w:w="2835" w:type="dxa"/>
            <w:vAlign w:val="center"/>
          </w:tcPr>
          <w:p w14:paraId="1ADD53CB">
            <w:pPr>
              <w:pStyle w:val="164"/>
              <w:spacing w:before="40" w:after="40" w:line="240" w:lineRule="auto"/>
              <w:ind w:firstLine="0"/>
              <w:jc w:val="left"/>
            </w:pPr>
            <w:r>
              <w:rPr>
                <w:rFonts w:ascii="Arial" w:hAnsi="Arial" w:eastAsia="宋体"/>
                <w:b w:val="0"/>
                <w:sz w:val="21"/>
              </w:rPr>
              <w:t>满足GBZ 2.1-2019职业接触限值</w:t>
            </w:r>
          </w:p>
        </w:tc>
        <w:tc>
          <w:tcPr>
            <w:tcW w:w="2835" w:type="dxa"/>
            <w:vAlign w:val="center"/>
          </w:tcPr>
          <w:p w14:paraId="3A8C4DA1">
            <w:pPr>
              <w:pStyle w:val="164"/>
              <w:spacing w:before="40" w:after="40" w:line="240" w:lineRule="auto"/>
              <w:ind w:firstLine="0"/>
              <w:jc w:val="left"/>
            </w:pPr>
            <w:r>
              <w:rPr>
                <w:rFonts w:ascii="Arial" w:hAnsi="Arial" w:eastAsia="宋体"/>
                <w:b w:val="0"/>
                <w:sz w:val="21"/>
              </w:rPr>
              <w:t>职业卫生检测</w:t>
            </w:r>
          </w:p>
        </w:tc>
      </w:tr>
      <w:tr w14:paraId="2FDDE40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0E4FD28">
            <w:pPr>
              <w:pStyle w:val="164"/>
              <w:spacing w:before="40" w:after="40" w:line="240" w:lineRule="auto"/>
              <w:ind w:firstLine="0"/>
              <w:jc w:val="center"/>
            </w:pPr>
            <w:r>
              <w:rPr>
                <w:rFonts w:ascii="Arial" w:hAnsi="Arial" w:eastAsia="宋体"/>
                <w:b w:val="0"/>
                <w:sz w:val="21"/>
              </w:rPr>
              <w:t>7</w:t>
            </w:r>
          </w:p>
        </w:tc>
        <w:tc>
          <w:tcPr>
            <w:tcW w:w="2721" w:type="dxa"/>
            <w:vAlign w:val="center"/>
          </w:tcPr>
          <w:p w14:paraId="383A266D">
            <w:pPr>
              <w:pStyle w:val="164"/>
              <w:spacing w:before="40" w:after="40" w:line="240" w:lineRule="auto"/>
              <w:ind w:firstLine="0"/>
              <w:jc w:val="left"/>
            </w:pPr>
            <w:r>
              <w:rPr>
                <w:rFonts w:ascii="Arial" w:hAnsi="Arial" w:eastAsia="宋体"/>
                <w:b w:val="0"/>
                <w:sz w:val="21"/>
              </w:rPr>
              <w:t>无组织排放颗粒物</w:t>
            </w:r>
          </w:p>
        </w:tc>
        <w:tc>
          <w:tcPr>
            <w:tcW w:w="2835" w:type="dxa"/>
            <w:vAlign w:val="center"/>
          </w:tcPr>
          <w:p w14:paraId="1D3B89F8">
            <w:pPr>
              <w:pStyle w:val="164"/>
              <w:spacing w:before="40" w:after="40" w:line="240" w:lineRule="auto"/>
              <w:ind w:firstLine="0"/>
              <w:jc w:val="left"/>
            </w:pPr>
            <w:r>
              <w:rPr>
                <w:rFonts w:ascii="Arial" w:hAnsi="Arial" w:eastAsia="宋体"/>
                <w:b w:val="0"/>
                <w:sz w:val="21"/>
              </w:rPr>
              <w:t>满足GB 16297-1996限值（周界外浓度最高点）</w:t>
            </w:r>
          </w:p>
        </w:tc>
        <w:tc>
          <w:tcPr>
            <w:tcW w:w="2835" w:type="dxa"/>
            <w:vAlign w:val="center"/>
          </w:tcPr>
          <w:p w14:paraId="65D2AEED">
            <w:pPr>
              <w:pStyle w:val="164"/>
              <w:spacing w:before="40" w:after="40" w:line="240" w:lineRule="auto"/>
              <w:ind w:firstLine="0"/>
              <w:jc w:val="left"/>
            </w:pPr>
            <w:r>
              <w:rPr>
                <w:rFonts w:ascii="Arial" w:hAnsi="Arial" w:eastAsia="宋体"/>
                <w:b w:val="0"/>
                <w:sz w:val="21"/>
              </w:rPr>
              <w:t>厂界环境监测</w:t>
            </w:r>
          </w:p>
        </w:tc>
      </w:tr>
      <w:tr w14:paraId="35F0B8E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942F115">
            <w:pPr>
              <w:pStyle w:val="164"/>
              <w:spacing w:before="40" w:after="40" w:line="240" w:lineRule="auto"/>
              <w:ind w:firstLine="0"/>
              <w:jc w:val="center"/>
            </w:pPr>
            <w:r>
              <w:rPr>
                <w:rFonts w:ascii="Arial" w:hAnsi="Arial" w:eastAsia="宋体"/>
                <w:b w:val="0"/>
                <w:sz w:val="21"/>
              </w:rPr>
              <w:t>8</w:t>
            </w:r>
          </w:p>
        </w:tc>
        <w:tc>
          <w:tcPr>
            <w:tcW w:w="2721" w:type="dxa"/>
            <w:vAlign w:val="center"/>
          </w:tcPr>
          <w:p w14:paraId="76DE7831">
            <w:pPr>
              <w:pStyle w:val="164"/>
              <w:spacing w:before="40" w:after="40" w:line="240" w:lineRule="auto"/>
              <w:ind w:firstLine="0"/>
              <w:jc w:val="left"/>
            </w:pPr>
            <w:r>
              <w:rPr>
                <w:rFonts w:ascii="Arial" w:hAnsi="Arial" w:eastAsia="宋体"/>
                <w:b w:val="0"/>
                <w:sz w:val="21"/>
              </w:rPr>
              <w:t>连续稳定运行</w:t>
            </w:r>
          </w:p>
        </w:tc>
        <w:tc>
          <w:tcPr>
            <w:tcW w:w="2835" w:type="dxa"/>
            <w:vAlign w:val="center"/>
          </w:tcPr>
          <w:p w14:paraId="58BF174A">
            <w:pPr>
              <w:pStyle w:val="164"/>
              <w:spacing w:before="40" w:after="40" w:line="240" w:lineRule="auto"/>
              <w:ind w:firstLine="0"/>
              <w:jc w:val="left"/>
            </w:pPr>
            <w:r>
              <w:rPr>
                <w:rFonts w:ascii="Arial" w:hAnsi="Arial" w:eastAsia="宋体"/>
                <w:b w:val="0"/>
                <w:sz w:val="21"/>
              </w:rPr>
              <w:t>≥72 h无故障</w:t>
            </w:r>
          </w:p>
        </w:tc>
        <w:tc>
          <w:tcPr>
            <w:tcW w:w="2835" w:type="dxa"/>
            <w:vAlign w:val="center"/>
          </w:tcPr>
          <w:p w14:paraId="2AC7E415">
            <w:pPr>
              <w:pStyle w:val="164"/>
              <w:spacing w:before="40" w:after="40" w:line="240" w:lineRule="auto"/>
              <w:ind w:firstLine="0"/>
              <w:jc w:val="left"/>
            </w:pPr>
            <w:r>
              <w:rPr>
                <w:rFonts w:ascii="Arial" w:hAnsi="Arial" w:eastAsia="宋体"/>
                <w:b w:val="0"/>
                <w:sz w:val="21"/>
              </w:rPr>
              <w:t>联动考核记录</w:t>
            </w:r>
          </w:p>
        </w:tc>
      </w:tr>
      <w:tr w14:paraId="6CC70E2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DCE0110">
            <w:pPr>
              <w:pStyle w:val="164"/>
              <w:spacing w:before="40" w:after="40" w:line="240" w:lineRule="auto"/>
              <w:ind w:firstLine="0"/>
              <w:jc w:val="center"/>
            </w:pPr>
            <w:r>
              <w:rPr>
                <w:rFonts w:ascii="Arial" w:hAnsi="Arial" w:eastAsia="宋体"/>
                <w:b w:val="0"/>
                <w:sz w:val="21"/>
              </w:rPr>
              <w:t>9</w:t>
            </w:r>
          </w:p>
        </w:tc>
        <w:tc>
          <w:tcPr>
            <w:tcW w:w="2721" w:type="dxa"/>
            <w:vAlign w:val="center"/>
          </w:tcPr>
          <w:p w14:paraId="093FD790">
            <w:pPr>
              <w:pStyle w:val="164"/>
              <w:spacing w:before="40" w:after="40" w:line="240" w:lineRule="auto"/>
              <w:ind w:firstLine="0"/>
              <w:jc w:val="left"/>
            </w:pPr>
            <w:r>
              <w:rPr>
                <w:rFonts w:ascii="Arial" w:hAnsi="Arial" w:eastAsia="宋体"/>
                <w:b w:val="0"/>
                <w:sz w:val="21"/>
              </w:rPr>
              <w:t>清灰系统动作</w:t>
            </w:r>
          </w:p>
        </w:tc>
        <w:tc>
          <w:tcPr>
            <w:tcW w:w="2835" w:type="dxa"/>
            <w:vAlign w:val="center"/>
          </w:tcPr>
          <w:p w14:paraId="17A76F57">
            <w:pPr>
              <w:pStyle w:val="164"/>
              <w:spacing w:before="40" w:after="40" w:line="240" w:lineRule="auto"/>
              <w:ind w:firstLine="0"/>
              <w:jc w:val="left"/>
            </w:pPr>
            <w:r>
              <w:rPr>
                <w:rFonts w:ascii="Arial" w:hAnsi="Arial" w:eastAsia="宋体"/>
                <w:b w:val="0"/>
                <w:sz w:val="21"/>
              </w:rPr>
              <w:t>各脉冲阀按序动作、压力稳定</w:t>
            </w:r>
          </w:p>
        </w:tc>
        <w:tc>
          <w:tcPr>
            <w:tcW w:w="2835" w:type="dxa"/>
            <w:vAlign w:val="center"/>
          </w:tcPr>
          <w:p w14:paraId="7F322239">
            <w:pPr>
              <w:pStyle w:val="164"/>
              <w:spacing w:before="40" w:after="40" w:line="240" w:lineRule="auto"/>
              <w:ind w:firstLine="0"/>
              <w:jc w:val="left"/>
            </w:pPr>
            <w:r>
              <w:rPr>
                <w:rFonts w:ascii="Arial" w:hAnsi="Arial" w:eastAsia="宋体"/>
                <w:b w:val="0"/>
                <w:sz w:val="21"/>
              </w:rPr>
              <w:t>目测+压力表</w:t>
            </w:r>
          </w:p>
        </w:tc>
      </w:tr>
      <w:tr w14:paraId="0190033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4396C64">
            <w:pPr>
              <w:pStyle w:val="164"/>
              <w:spacing w:before="40" w:after="40" w:line="240" w:lineRule="auto"/>
              <w:ind w:firstLine="0"/>
              <w:jc w:val="center"/>
            </w:pPr>
            <w:r>
              <w:rPr>
                <w:rFonts w:ascii="Arial" w:hAnsi="Arial" w:eastAsia="宋体"/>
                <w:b w:val="0"/>
                <w:sz w:val="21"/>
              </w:rPr>
              <w:t>10</w:t>
            </w:r>
          </w:p>
        </w:tc>
        <w:tc>
          <w:tcPr>
            <w:tcW w:w="2721" w:type="dxa"/>
            <w:vAlign w:val="center"/>
          </w:tcPr>
          <w:p w14:paraId="20BE3319">
            <w:pPr>
              <w:pStyle w:val="164"/>
              <w:spacing w:before="40" w:after="40" w:line="240" w:lineRule="auto"/>
              <w:ind w:firstLine="0"/>
              <w:jc w:val="left"/>
            </w:pPr>
            <w:r>
              <w:rPr>
                <w:rFonts w:ascii="Arial" w:hAnsi="Arial" w:eastAsia="宋体"/>
                <w:b w:val="0"/>
                <w:sz w:val="21"/>
              </w:rPr>
              <w:t>风机运行状态</w:t>
            </w:r>
          </w:p>
        </w:tc>
        <w:tc>
          <w:tcPr>
            <w:tcW w:w="2835" w:type="dxa"/>
            <w:vAlign w:val="center"/>
          </w:tcPr>
          <w:p w14:paraId="7B98633E">
            <w:pPr>
              <w:pStyle w:val="164"/>
              <w:spacing w:before="40" w:after="40" w:line="240" w:lineRule="auto"/>
              <w:ind w:firstLine="0"/>
              <w:jc w:val="left"/>
            </w:pPr>
            <w:r>
              <w:rPr>
                <w:rFonts w:ascii="Arial" w:hAnsi="Arial" w:eastAsia="宋体"/>
                <w:b w:val="0"/>
                <w:sz w:val="21"/>
              </w:rPr>
              <w:t>振动、温升、电流正常，无异常噪声</w:t>
            </w:r>
          </w:p>
        </w:tc>
        <w:tc>
          <w:tcPr>
            <w:tcW w:w="2835" w:type="dxa"/>
            <w:vAlign w:val="center"/>
          </w:tcPr>
          <w:p w14:paraId="26AF1E58">
            <w:pPr>
              <w:pStyle w:val="164"/>
              <w:spacing w:before="40" w:after="40" w:line="240" w:lineRule="auto"/>
              <w:ind w:firstLine="0"/>
              <w:jc w:val="left"/>
            </w:pPr>
            <w:r>
              <w:rPr>
                <w:rFonts w:ascii="Arial" w:hAnsi="Arial" w:eastAsia="宋体"/>
                <w:b w:val="0"/>
                <w:sz w:val="21"/>
              </w:rPr>
              <w:t>便携测振测温仪表</w:t>
            </w:r>
          </w:p>
        </w:tc>
      </w:tr>
    </w:tbl>
    <w:p w14:paraId="3E186B63">
      <w:pPr>
        <w:pStyle w:val="3"/>
      </w:pPr>
      <w:r>
        <w:rPr>
          <w:rFonts w:ascii="Arial" w:hAnsi="Arial" w:eastAsia="黑体"/>
          <w:b/>
          <w:color w:val="000000"/>
          <w:sz w:val="32"/>
        </w:rPr>
        <w:t>9 运维管理方案：长期稳定运行的制度保障</w:t>
      </w:r>
    </w:p>
    <w:p w14:paraId="1BD4F2B2">
      <w:pPr>
        <w:pStyle w:val="4"/>
      </w:pPr>
      <w:r>
        <w:rPr>
          <w:rFonts w:ascii="Arial" w:hAnsi="Arial" w:eastAsia="黑体"/>
          <w:b/>
          <w:color w:val="000000"/>
          <w:sz w:val="28"/>
        </w:rPr>
        <w:t>9.1 运行管理制度：岗位责任与操作规程</w:t>
      </w:r>
    </w:p>
    <w:p w14:paraId="5DBF4B60">
      <w:r>
        <w:rPr>
          <w:rFonts w:ascii="Arial" w:hAnsi="Arial" w:eastAsia="宋体"/>
          <w:b w:val="0"/>
          <w:sz w:val="24"/>
        </w:rPr>
        <w:t>建立除尘系统运行管理责任制，明确运行操作、巡检维护、检修与台账管理岗位职责；制定除尘系统操作规程，规范风机启停、清灰参数调整、卸灰作业与异常处置流程；实行交接班制度与运行记录制度，确保系统运行状态全程可追溯。运行人员上岗前须经培训合格，掌握系统原理、操作规程与应急处置方法。</w:t>
      </w:r>
    </w:p>
    <w:p w14:paraId="3C70377F">
      <w:pPr>
        <w:pStyle w:val="4"/>
      </w:pPr>
      <w:r>
        <w:rPr>
          <w:rFonts w:ascii="Arial" w:hAnsi="Arial" w:eastAsia="黑体"/>
          <w:b/>
          <w:color w:val="000000"/>
          <w:sz w:val="28"/>
        </w:rPr>
        <w:t>9.2 日常巡检要点：关键参数与异常识别</w:t>
      </w:r>
    </w:p>
    <w:p w14:paraId="27031B7B">
      <w:r>
        <w:rPr>
          <w:rFonts w:ascii="Arial" w:hAnsi="Arial" w:eastAsia="宋体"/>
          <w:b w:val="0"/>
          <w:sz w:val="24"/>
        </w:rPr>
        <w:t>日常巡检重点包括：除尘器进出口压差（压差异常升高提示滤袋板结或清灰异常，压差异常下降提示滤袋破损或漏风）、风机运行电流与振动、脉冲清灰动作是否正常、储气罐与稳压气包压力、卸灰阀排灰是否畅通、防爆电动风阀开度与动作、粉尘监测报警装置运行状态。巡检发现异常及时记录并按故障处理程序处置，杜绝带病运行。</w:t>
      </w:r>
    </w:p>
    <w:p w14:paraId="47782E57">
      <w:pPr>
        <w:pStyle w:val="4"/>
      </w:pPr>
      <w:r>
        <w:rPr>
          <w:rFonts w:ascii="Arial" w:hAnsi="Arial" w:eastAsia="黑体"/>
          <w:b/>
          <w:color w:val="000000"/>
          <w:sz w:val="28"/>
        </w:rPr>
        <w:t>9.3 维护保养计划：周期性保养与滤袋管理</w:t>
      </w:r>
    </w:p>
    <w:p w14:paraId="3D15CFF8">
      <w:r>
        <w:rPr>
          <w:rFonts w:ascii="Arial" w:hAnsi="Arial" w:eastAsia="宋体"/>
          <w:b w:val="0"/>
          <w:sz w:val="24"/>
        </w:rPr>
        <w:t>维护保养按周期实施：每周检查清灰系统压力与脉冲阀动作、风机润滑与紧固情况；每月检查滤袋袋口密封、袋笼状况与灰斗积灰情况，清理喷吹装置；每季度检查风机轴承润滑、电机绝缘与电气接线，校验粉尘监测报警装置；每年开展系统性能检测与滤袋状态评估。滤袋是系统核心易损件，出现破损、糊袋或老化时及时更换，更换滤袋须采用同规格抗静电材质并做好安装防护，防止二次损伤。</w:t>
      </w:r>
    </w:p>
    <w:p w14:paraId="4055C83B">
      <w:pPr>
        <w:pStyle w:val="4"/>
      </w:pPr>
      <w:r>
        <w:rPr>
          <w:rFonts w:ascii="Arial" w:hAnsi="Arial" w:eastAsia="黑体"/>
          <w:b/>
          <w:color w:val="000000"/>
          <w:sz w:val="28"/>
        </w:rPr>
        <w:t>9.4 备品备件管理：关键易损件储备</w:t>
      </w:r>
    </w:p>
    <w:p w14:paraId="2DCEAB57">
      <w:r>
        <w:rPr>
          <w:rFonts w:ascii="Arial" w:hAnsi="Arial" w:eastAsia="宋体"/>
          <w:b w:val="0"/>
          <w:sz w:val="24"/>
        </w:rPr>
        <w:t>按设备配置储备关键备品备件，主要包括：滤袋（含抗静电涤纶针刺毡）、袋笼、脉冲阀膜片与阀体组件、电磁阀线圈、电动风阀执行器、风机轴承、卸灰阀阀板及密封件、压力表与报警装置配件等。备件按型号登记入库、定期盘点，保证故障时快速更换，缩短系统停运时间。</w:t>
      </w:r>
    </w:p>
    <w:p w14:paraId="3113A5B7">
      <w:pPr>
        <w:pStyle w:val="4"/>
      </w:pPr>
      <w:r>
        <w:rPr>
          <w:rFonts w:ascii="Arial" w:hAnsi="Arial" w:eastAsia="黑体"/>
          <w:b/>
          <w:color w:val="000000"/>
          <w:sz w:val="28"/>
        </w:rPr>
        <w:t>9.5 常见故障与处理：快速定位与处置</w:t>
      </w:r>
    </w:p>
    <w:p w14:paraId="54670FE8">
      <w:pPr>
        <w:pStyle w:val="15"/>
      </w:pPr>
      <w:r>
        <w:rPr>
          <w:rFonts w:ascii="Arial" w:hAnsi="Arial" w:eastAsia="宋体"/>
          <w:b w:val="0"/>
          <w:color w:val="000000"/>
          <w:sz w:val="21"/>
        </w:rPr>
        <w:t>表8 常见故障现象、原因分析与处理措施</w:t>
      </w:r>
    </w:p>
    <w:tbl>
      <w:tblPr>
        <w:tblStyle w:val="32"/>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268"/>
        <w:gridCol w:w="2268"/>
        <w:gridCol w:w="2268"/>
      </w:tblGrid>
      <w:tr w14:paraId="58A118A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blHeader/>
          <w:jc w:val="center"/>
        </w:trPr>
        <w:tc>
          <w:tcPr>
            <w:tcW w:w="680" w:type="dxa"/>
            <w:shd w:val="clear" w:color="auto" w:fill="D9D9D9"/>
            <w:vAlign w:val="center"/>
          </w:tcPr>
          <w:p w14:paraId="52041685">
            <w:pPr>
              <w:pStyle w:val="164"/>
              <w:spacing w:before="40" w:after="40" w:line="240" w:lineRule="auto"/>
              <w:ind w:firstLine="0"/>
              <w:jc w:val="center"/>
            </w:pPr>
            <w:r>
              <w:rPr>
                <w:rFonts w:ascii="Arial" w:hAnsi="Arial" w:eastAsia="宋体"/>
                <w:b/>
                <w:sz w:val="21"/>
              </w:rPr>
              <w:t>序号</w:t>
            </w:r>
          </w:p>
        </w:tc>
        <w:tc>
          <w:tcPr>
            <w:tcW w:w="2041" w:type="dxa"/>
            <w:shd w:val="clear" w:color="auto" w:fill="D9D9D9"/>
            <w:vAlign w:val="center"/>
          </w:tcPr>
          <w:p w14:paraId="0D2D5E42">
            <w:pPr>
              <w:pStyle w:val="164"/>
              <w:spacing w:before="40" w:after="40" w:line="240" w:lineRule="auto"/>
              <w:ind w:firstLine="0"/>
              <w:jc w:val="center"/>
            </w:pPr>
            <w:r>
              <w:rPr>
                <w:rFonts w:ascii="Arial" w:hAnsi="Arial" w:eastAsia="宋体"/>
                <w:b/>
                <w:sz w:val="21"/>
              </w:rPr>
              <w:t>故障现象</w:t>
            </w:r>
          </w:p>
        </w:tc>
        <w:tc>
          <w:tcPr>
            <w:tcW w:w="2948" w:type="dxa"/>
            <w:shd w:val="clear" w:color="auto" w:fill="D9D9D9"/>
            <w:vAlign w:val="center"/>
          </w:tcPr>
          <w:p w14:paraId="7FC9C89B">
            <w:pPr>
              <w:pStyle w:val="164"/>
              <w:spacing w:before="40" w:after="40" w:line="240" w:lineRule="auto"/>
              <w:ind w:firstLine="0"/>
              <w:jc w:val="center"/>
            </w:pPr>
            <w:r>
              <w:rPr>
                <w:rFonts w:ascii="Arial" w:hAnsi="Arial" w:eastAsia="宋体"/>
                <w:b/>
                <w:sz w:val="21"/>
              </w:rPr>
              <w:t>主要原因</w:t>
            </w:r>
          </w:p>
        </w:tc>
        <w:tc>
          <w:tcPr>
            <w:tcW w:w="3402" w:type="dxa"/>
            <w:shd w:val="clear" w:color="auto" w:fill="D9D9D9"/>
            <w:vAlign w:val="center"/>
          </w:tcPr>
          <w:p w14:paraId="4FE9DFFC">
            <w:pPr>
              <w:pStyle w:val="164"/>
              <w:spacing w:before="40" w:after="40" w:line="240" w:lineRule="auto"/>
              <w:ind w:firstLine="0"/>
              <w:jc w:val="center"/>
            </w:pPr>
            <w:r>
              <w:rPr>
                <w:rFonts w:ascii="Arial" w:hAnsi="Arial" w:eastAsia="宋体"/>
                <w:b/>
                <w:sz w:val="21"/>
              </w:rPr>
              <w:t>处理措施</w:t>
            </w:r>
          </w:p>
        </w:tc>
      </w:tr>
      <w:tr w14:paraId="2D6F00E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E12202E">
            <w:pPr>
              <w:pStyle w:val="164"/>
              <w:spacing w:before="40" w:after="40" w:line="240" w:lineRule="auto"/>
              <w:ind w:firstLine="0"/>
              <w:jc w:val="center"/>
            </w:pPr>
            <w:r>
              <w:rPr>
                <w:rFonts w:ascii="Arial" w:hAnsi="Arial" w:eastAsia="宋体"/>
                <w:b w:val="0"/>
                <w:sz w:val="21"/>
              </w:rPr>
              <w:t>1</w:t>
            </w:r>
          </w:p>
        </w:tc>
        <w:tc>
          <w:tcPr>
            <w:tcW w:w="2041" w:type="dxa"/>
            <w:vAlign w:val="center"/>
          </w:tcPr>
          <w:p w14:paraId="537C5F88">
            <w:pPr>
              <w:pStyle w:val="164"/>
              <w:spacing w:before="40" w:after="40" w:line="240" w:lineRule="auto"/>
              <w:ind w:firstLine="0"/>
              <w:jc w:val="left"/>
            </w:pPr>
            <w:r>
              <w:rPr>
                <w:rFonts w:ascii="Arial" w:hAnsi="Arial" w:eastAsia="宋体"/>
                <w:b w:val="0"/>
                <w:sz w:val="21"/>
              </w:rPr>
              <w:t>排放浓度超标</w:t>
            </w:r>
          </w:p>
        </w:tc>
        <w:tc>
          <w:tcPr>
            <w:tcW w:w="2948" w:type="dxa"/>
            <w:vAlign w:val="center"/>
          </w:tcPr>
          <w:p w14:paraId="182914C3">
            <w:pPr>
              <w:pStyle w:val="164"/>
              <w:spacing w:before="40" w:after="40" w:line="240" w:lineRule="auto"/>
              <w:ind w:firstLine="0"/>
              <w:jc w:val="left"/>
            </w:pPr>
            <w:r>
              <w:rPr>
                <w:rFonts w:ascii="Arial" w:hAnsi="Arial" w:eastAsia="宋体"/>
                <w:b w:val="0"/>
                <w:sz w:val="21"/>
              </w:rPr>
              <w:t>滤袋破损、袋口密封不严、清灰失效</w:t>
            </w:r>
          </w:p>
        </w:tc>
        <w:tc>
          <w:tcPr>
            <w:tcW w:w="3402" w:type="dxa"/>
            <w:vAlign w:val="center"/>
          </w:tcPr>
          <w:p w14:paraId="6040B857">
            <w:pPr>
              <w:pStyle w:val="164"/>
              <w:spacing w:before="40" w:after="40" w:line="240" w:lineRule="auto"/>
              <w:ind w:firstLine="0"/>
              <w:jc w:val="left"/>
            </w:pPr>
            <w:r>
              <w:rPr>
                <w:rFonts w:ascii="Arial" w:hAnsi="Arial" w:eastAsia="宋体"/>
                <w:b w:val="0"/>
                <w:sz w:val="21"/>
              </w:rPr>
              <w:t>逐室检查更换滤袋、压紧袋口、检修清灰系统</w:t>
            </w:r>
          </w:p>
        </w:tc>
      </w:tr>
      <w:tr w14:paraId="27E789F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7038538D">
            <w:pPr>
              <w:pStyle w:val="164"/>
              <w:spacing w:before="40" w:after="40" w:line="240" w:lineRule="auto"/>
              <w:ind w:firstLine="0"/>
              <w:jc w:val="center"/>
            </w:pPr>
            <w:r>
              <w:rPr>
                <w:rFonts w:ascii="Arial" w:hAnsi="Arial" w:eastAsia="宋体"/>
                <w:b w:val="0"/>
                <w:sz w:val="21"/>
              </w:rPr>
              <w:t>2</w:t>
            </w:r>
          </w:p>
        </w:tc>
        <w:tc>
          <w:tcPr>
            <w:tcW w:w="2041" w:type="dxa"/>
            <w:vAlign w:val="center"/>
          </w:tcPr>
          <w:p w14:paraId="0C13E9EB">
            <w:pPr>
              <w:pStyle w:val="164"/>
              <w:spacing w:before="40" w:after="40" w:line="240" w:lineRule="auto"/>
              <w:ind w:firstLine="0"/>
              <w:jc w:val="left"/>
            </w:pPr>
            <w:r>
              <w:rPr>
                <w:rFonts w:ascii="Arial" w:hAnsi="Arial" w:eastAsia="宋体"/>
                <w:b w:val="0"/>
                <w:sz w:val="21"/>
              </w:rPr>
              <w:t>系统阻力过高</w:t>
            </w:r>
          </w:p>
        </w:tc>
        <w:tc>
          <w:tcPr>
            <w:tcW w:w="2948" w:type="dxa"/>
            <w:vAlign w:val="center"/>
          </w:tcPr>
          <w:p w14:paraId="0A5D49CF">
            <w:pPr>
              <w:pStyle w:val="164"/>
              <w:spacing w:before="40" w:after="40" w:line="240" w:lineRule="auto"/>
              <w:ind w:firstLine="0"/>
              <w:jc w:val="left"/>
            </w:pPr>
            <w:r>
              <w:rPr>
                <w:rFonts w:ascii="Arial" w:hAnsi="Arial" w:eastAsia="宋体"/>
                <w:b w:val="0"/>
                <w:sz w:val="21"/>
              </w:rPr>
              <w:t>清灰压力不足、滤袋板结、风量偏大</w:t>
            </w:r>
          </w:p>
        </w:tc>
        <w:tc>
          <w:tcPr>
            <w:tcW w:w="3402" w:type="dxa"/>
            <w:vAlign w:val="center"/>
          </w:tcPr>
          <w:p w14:paraId="61C67386">
            <w:pPr>
              <w:pStyle w:val="164"/>
              <w:spacing w:before="40" w:after="40" w:line="240" w:lineRule="auto"/>
              <w:ind w:firstLine="0"/>
              <w:jc w:val="left"/>
            </w:pPr>
            <w:r>
              <w:rPr>
                <w:rFonts w:ascii="Arial" w:hAnsi="Arial" w:eastAsia="宋体"/>
                <w:b w:val="0"/>
                <w:sz w:val="21"/>
              </w:rPr>
              <w:t>调大清灰频次与压力、检查滤袋状况、校核风量</w:t>
            </w:r>
          </w:p>
        </w:tc>
      </w:tr>
      <w:tr w14:paraId="37A0F75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0B68822C">
            <w:pPr>
              <w:pStyle w:val="164"/>
              <w:spacing w:before="40" w:after="40" w:line="240" w:lineRule="auto"/>
              <w:ind w:firstLine="0"/>
              <w:jc w:val="center"/>
            </w:pPr>
            <w:r>
              <w:rPr>
                <w:rFonts w:ascii="Arial" w:hAnsi="Arial" w:eastAsia="宋体"/>
                <w:b w:val="0"/>
                <w:sz w:val="21"/>
              </w:rPr>
              <w:t>3</w:t>
            </w:r>
          </w:p>
        </w:tc>
        <w:tc>
          <w:tcPr>
            <w:tcW w:w="2041" w:type="dxa"/>
            <w:vAlign w:val="center"/>
          </w:tcPr>
          <w:p w14:paraId="1BE417AC">
            <w:pPr>
              <w:pStyle w:val="164"/>
              <w:spacing w:before="40" w:after="40" w:line="240" w:lineRule="auto"/>
              <w:ind w:firstLine="0"/>
              <w:jc w:val="left"/>
            </w:pPr>
            <w:r>
              <w:rPr>
                <w:rFonts w:ascii="Arial" w:hAnsi="Arial" w:eastAsia="宋体"/>
                <w:b w:val="0"/>
                <w:sz w:val="21"/>
              </w:rPr>
              <w:t>风机振动大</w:t>
            </w:r>
          </w:p>
        </w:tc>
        <w:tc>
          <w:tcPr>
            <w:tcW w:w="2948" w:type="dxa"/>
            <w:vAlign w:val="center"/>
          </w:tcPr>
          <w:p w14:paraId="689E3B0A">
            <w:pPr>
              <w:pStyle w:val="164"/>
              <w:spacing w:before="40" w:after="40" w:line="240" w:lineRule="auto"/>
              <w:ind w:firstLine="0"/>
              <w:jc w:val="left"/>
            </w:pPr>
            <w:r>
              <w:rPr>
                <w:rFonts w:ascii="Arial" w:hAnsi="Arial" w:eastAsia="宋体"/>
                <w:b w:val="0"/>
                <w:sz w:val="21"/>
              </w:rPr>
              <w:t>叶轮积灰失衡、轴承磨损、基础松动</w:t>
            </w:r>
          </w:p>
        </w:tc>
        <w:tc>
          <w:tcPr>
            <w:tcW w:w="3402" w:type="dxa"/>
            <w:vAlign w:val="center"/>
          </w:tcPr>
          <w:p w14:paraId="7B2437A5">
            <w:pPr>
              <w:pStyle w:val="164"/>
              <w:spacing w:before="40" w:after="40" w:line="240" w:lineRule="auto"/>
              <w:ind w:firstLine="0"/>
              <w:jc w:val="left"/>
            </w:pPr>
            <w:r>
              <w:rPr>
                <w:rFonts w:ascii="Arial" w:hAnsi="Arial" w:eastAsia="宋体"/>
                <w:b w:val="0"/>
                <w:sz w:val="21"/>
              </w:rPr>
              <w:t>清理叶轮、更换轴承、紧固基础并重新找正</w:t>
            </w:r>
          </w:p>
        </w:tc>
      </w:tr>
      <w:tr w14:paraId="7F003E9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BE29364">
            <w:pPr>
              <w:pStyle w:val="164"/>
              <w:spacing w:before="40" w:after="40" w:line="240" w:lineRule="auto"/>
              <w:ind w:firstLine="0"/>
              <w:jc w:val="center"/>
            </w:pPr>
            <w:r>
              <w:rPr>
                <w:rFonts w:ascii="Arial" w:hAnsi="Arial" w:eastAsia="宋体"/>
                <w:b w:val="0"/>
                <w:sz w:val="21"/>
              </w:rPr>
              <w:t>4</w:t>
            </w:r>
          </w:p>
        </w:tc>
        <w:tc>
          <w:tcPr>
            <w:tcW w:w="2041" w:type="dxa"/>
            <w:vAlign w:val="center"/>
          </w:tcPr>
          <w:p w14:paraId="35B02821">
            <w:pPr>
              <w:pStyle w:val="164"/>
              <w:spacing w:before="40" w:after="40" w:line="240" w:lineRule="auto"/>
              <w:ind w:firstLine="0"/>
              <w:jc w:val="left"/>
            </w:pPr>
            <w:r>
              <w:rPr>
                <w:rFonts w:ascii="Arial" w:hAnsi="Arial" w:eastAsia="宋体"/>
                <w:b w:val="0"/>
                <w:sz w:val="21"/>
              </w:rPr>
              <w:t>脉冲阀不动作</w:t>
            </w:r>
          </w:p>
        </w:tc>
        <w:tc>
          <w:tcPr>
            <w:tcW w:w="2948" w:type="dxa"/>
            <w:vAlign w:val="center"/>
          </w:tcPr>
          <w:p w14:paraId="37778600">
            <w:pPr>
              <w:pStyle w:val="164"/>
              <w:spacing w:before="40" w:after="40" w:line="240" w:lineRule="auto"/>
              <w:ind w:firstLine="0"/>
              <w:jc w:val="left"/>
            </w:pPr>
            <w:r>
              <w:rPr>
                <w:rFonts w:ascii="Arial" w:hAnsi="Arial" w:eastAsia="宋体"/>
                <w:b w:val="0"/>
                <w:sz w:val="21"/>
              </w:rPr>
              <w:t>电磁阀故障、气源压力不足、控制信号异常</w:t>
            </w:r>
          </w:p>
        </w:tc>
        <w:tc>
          <w:tcPr>
            <w:tcW w:w="3402" w:type="dxa"/>
            <w:vAlign w:val="center"/>
          </w:tcPr>
          <w:p w14:paraId="0410366B">
            <w:pPr>
              <w:pStyle w:val="164"/>
              <w:spacing w:before="40" w:after="40" w:line="240" w:lineRule="auto"/>
              <w:ind w:firstLine="0"/>
              <w:jc w:val="left"/>
            </w:pPr>
            <w:r>
              <w:rPr>
                <w:rFonts w:ascii="Arial" w:hAnsi="Arial" w:eastAsia="宋体"/>
                <w:b w:val="0"/>
                <w:sz w:val="21"/>
              </w:rPr>
              <w:t>检修或更换电磁阀、恢复气源压力、检查电控回路</w:t>
            </w:r>
          </w:p>
        </w:tc>
      </w:tr>
      <w:tr w14:paraId="7C4E4E6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139ACF4E">
            <w:pPr>
              <w:pStyle w:val="164"/>
              <w:spacing w:before="40" w:after="40" w:line="240" w:lineRule="auto"/>
              <w:ind w:firstLine="0"/>
              <w:jc w:val="center"/>
            </w:pPr>
            <w:r>
              <w:rPr>
                <w:rFonts w:ascii="Arial" w:hAnsi="Arial" w:eastAsia="宋体"/>
                <w:b w:val="0"/>
                <w:sz w:val="21"/>
              </w:rPr>
              <w:t>5</w:t>
            </w:r>
          </w:p>
        </w:tc>
        <w:tc>
          <w:tcPr>
            <w:tcW w:w="2041" w:type="dxa"/>
            <w:vAlign w:val="center"/>
          </w:tcPr>
          <w:p w14:paraId="7A861248">
            <w:pPr>
              <w:pStyle w:val="164"/>
              <w:spacing w:before="40" w:after="40" w:line="240" w:lineRule="auto"/>
              <w:ind w:firstLine="0"/>
              <w:jc w:val="left"/>
            </w:pPr>
            <w:r>
              <w:rPr>
                <w:rFonts w:ascii="Arial" w:hAnsi="Arial" w:eastAsia="宋体"/>
                <w:b w:val="0"/>
                <w:sz w:val="21"/>
              </w:rPr>
              <w:t>卸灰不畅</w:t>
            </w:r>
          </w:p>
        </w:tc>
        <w:tc>
          <w:tcPr>
            <w:tcW w:w="2948" w:type="dxa"/>
            <w:vAlign w:val="center"/>
          </w:tcPr>
          <w:p w14:paraId="5A4D92BA">
            <w:pPr>
              <w:pStyle w:val="164"/>
              <w:spacing w:before="40" w:after="40" w:line="240" w:lineRule="auto"/>
              <w:ind w:firstLine="0"/>
              <w:jc w:val="left"/>
            </w:pPr>
            <w:r>
              <w:rPr>
                <w:rFonts w:ascii="Arial" w:hAnsi="Arial" w:eastAsia="宋体"/>
                <w:b w:val="0"/>
                <w:sz w:val="21"/>
              </w:rPr>
              <w:t>粉尘板结搭桥、卸灰阀卡阻</w:t>
            </w:r>
          </w:p>
        </w:tc>
        <w:tc>
          <w:tcPr>
            <w:tcW w:w="3402" w:type="dxa"/>
            <w:vAlign w:val="center"/>
          </w:tcPr>
          <w:p w14:paraId="2284D286">
            <w:pPr>
              <w:pStyle w:val="164"/>
              <w:spacing w:before="40" w:after="40" w:line="240" w:lineRule="auto"/>
              <w:ind w:firstLine="0"/>
              <w:jc w:val="left"/>
            </w:pPr>
            <w:r>
              <w:rPr>
                <w:rFonts w:ascii="Arial" w:hAnsi="Arial" w:eastAsia="宋体"/>
                <w:b w:val="0"/>
                <w:sz w:val="21"/>
              </w:rPr>
              <w:t>人工清堵、检修卸灰阀、保持及时卸灰</w:t>
            </w:r>
          </w:p>
        </w:tc>
      </w:tr>
      <w:tr w14:paraId="6CC35AD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FB22E4C">
            <w:pPr>
              <w:pStyle w:val="164"/>
              <w:spacing w:before="40" w:after="40" w:line="240" w:lineRule="auto"/>
              <w:ind w:firstLine="0"/>
              <w:jc w:val="center"/>
            </w:pPr>
            <w:r>
              <w:rPr>
                <w:rFonts w:ascii="Arial" w:hAnsi="Arial" w:eastAsia="宋体"/>
                <w:b w:val="0"/>
                <w:sz w:val="21"/>
              </w:rPr>
              <w:t>6</w:t>
            </w:r>
          </w:p>
        </w:tc>
        <w:tc>
          <w:tcPr>
            <w:tcW w:w="2041" w:type="dxa"/>
            <w:vAlign w:val="center"/>
          </w:tcPr>
          <w:p w14:paraId="01211667">
            <w:pPr>
              <w:pStyle w:val="164"/>
              <w:spacing w:before="40" w:after="40" w:line="240" w:lineRule="auto"/>
              <w:ind w:firstLine="0"/>
              <w:jc w:val="left"/>
            </w:pPr>
            <w:r>
              <w:rPr>
                <w:rFonts w:ascii="Arial" w:hAnsi="Arial" w:eastAsia="宋体"/>
                <w:b w:val="0"/>
                <w:sz w:val="21"/>
              </w:rPr>
              <w:t>结露糊袋</w:t>
            </w:r>
          </w:p>
        </w:tc>
        <w:tc>
          <w:tcPr>
            <w:tcW w:w="2948" w:type="dxa"/>
            <w:vAlign w:val="center"/>
          </w:tcPr>
          <w:p w14:paraId="6614B1E3">
            <w:pPr>
              <w:pStyle w:val="164"/>
              <w:spacing w:before="40" w:after="40" w:line="240" w:lineRule="auto"/>
              <w:ind w:firstLine="0"/>
              <w:jc w:val="left"/>
            </w:pPr>
            <w:r>
              <w:rPr>
                <w:rFonts w:ascii="Arial" w:hAnsi="Arial" w:eastAsia="宋体"/>
                <w:b w:val="0"/>
                <w:sz w:val="21"/>
              </w:rPr>
              <w:t>烟气温度过低、含湿量大</w:t>
            </w:r>
          </w:p>
        </w:tc>
        <w:tc>
          <w:tcPr>
            <w:tcW w:w="3402" w:type="dxa"/>
            <w:vAlign w:val="center"/>
          </w:tcPr>
          <w:p w14:paraId="7FD4B3C7">
            <w:pPr>
              <w:pStyle w:val="164"/>
              <w:spacing w:before="40" w:after="40" w:line="240" w:lineRule="auto"/>
              <w:ind w:firstLine="0"/>
              <w:jc w:val="left"/>
            </w:pPr>
            <w:r>
              <w:rPr>
                <w:rFonts w:ascii="Arial" w:hAnsi="Arial" w:eastAsia="宋体"/>
                <w:b w:val="0"/>
                <w:sz w:val="21"/>
              </w:rPr>
              <w:t>提高运行温度、加强保温、缩短清灰间隔</w:t>
            </w:r>
          </w:p>
        </w:tc>
      </w:tr>
    </w:tbl>
    <w:p w14:paraId="11277EBF">
      <w:pPr>
        <w:pStyle w:val="4"/>
      </w:pPr>
      <w:r>
        <w:rPr>
          <w:rFonts w:ascii="Arial" w:hAnsi="Arial" w:eastAsia="黑体"/>
          <w:b/>
          <w:color w:val="000000"/>
          <w:sz w:val="28"/>
        </w:rPr>
        <w:t>9.6 监测与台账管理：排放自测与记录存档</w:t>
      </w:r>
    </w:p>
    <w:p w14:paraId="58E69788">
      <w:r>
        <w:rPr>
          <w:rFonts w:ascii="Arial" w:hAnsi="Arial" w:eastAsia="宋体"/>
          <w:b w:val="0"/>
          <w:sz w:val="24"/>
        </w:rPr>
        <w:t>建立系统运行与环保监测台账：日常记录运行参数（风量、压差、电流、清灰参数）、故障处理与备件更换记录；按排污许可与环境管理要求定期开展排放自测，并委托有资质机构开展年度排放检测与职业卫生检测；台账与检测报告归档保存，作为环境管理、环保验收与监督检查的可追溯依据。</w:t>
      </w:r>
    </w:p>
    <w:p w14:paraId="423184C8">
      <w:pPr>
        <w:pStyle w:val="3"/>
      </w:pPr>
      <w:r>
        <w:rPr>
          <w:rFonts w:ascii="Arial" w:hAnsi="Arial" w:eastAsia="黑体"/>
          <w:b/>
          <w:color w:val="000000"/>
          <w:sz w:val="32"/>
        </w:rPr>
        <w:t>10 安全保障措施：防爆、电气、防雷与职业健康</w:t>
      </w:r>
    </w:p>
    <w:p w14:paraId="4DE83668">
      <w:pPr>
        <w:pStyle w:val="4"/>
      </w:pPr>
      <w:r>
        <w:rPr>
          <w:rFonts w:ascii="Arial" w:hAnsi="Arial" w:eastAsia="黑体"/>
          <w:b/>
          <w:color w:val="000000"/>
          <w:sz w:val="28"/>
        </w:rPr>
        <w:t>10.1 粉尘防爆安全：可燃煤尘的防爆体系</w:t>
      </w:r>
    </w:p>
    <w:p w14:paraId="1AA0C8EC">
      <w:r>
        <w:rPr>
          <w:rFonts w:ascii="Arial" w:hAnsi="Arial" w:eastAsia="宋体"/>
          <w:b w:val="0"/>
          <w:sz w:val="24"/>
        </w:rPr>
        <w:t>本工程按GB 15577-2018建立全过程粉尘防爆体系：除尘系统按工艺分片设置相对独立的系统，不与其他工业气体管道连通；全部除尘器采用抗静电涤纶针刺毡滤料并做防爆结构设计，建议增设防爆装置与粉尘监测报警装置；除尘器与风机布置于室外，降低爆炸危害；防爆电动风阀实现危险工况快速隔断；对煤尘进行物化性质测定，掌握爆炸特性参数；检修作业采用防爆工具并执行动火审批，防止检修火花引燃粉尘。</w:t>
      </w:r>
    </w:p>
    <w:p w14:paraId="3A971881">
      <w:pPr>
        <w:pStyle w:val="4"/>
      </w:pPr>
      <w:r>
        <w:rPr>
          <w:rFonts w:ascii="Arial" w:hAnsi="Arial" w:eastAsia="黑体"/>
          <w:b/>
          <w:color w:val="000000"/>
          <w:sz w:val="28"/>
        </w:rPr>
        <w:t>10.2 电气安全：防爆电气与用电管理</w:t>
      </w:r>
    </w:p>
    <w:p w14:paraId="27167F43">
      <w:r>
        <w:rPr>
          <w:rFonts w:ascii="Arial" w:hAnsi="Arial" w:eastAsia="宋体"/>
          <w:b w:val="0"/>
          <w:sz w:val="24"/>
        </w:rPr>
        <w:t>本工程主要安全隐患之一为各除尘设备的用电安全。爆炸危险区域内的电气设备按GB 50058-2014要求选型与安装，电气线路做可靠接地与防静电跨接；变频电控柜设置漏电保护与过载保护；在必要电气设备旁设置安全警示牌；上岗员工须经培训合格后持证上岗；各除尘系统除尘器上均设置检修电源及安全照明，检修作业执行停电挂牌制度。</w:t>
      </w:r>
    </w:p>
    <w:p w14:paraId="70006A45">
      <w:pPr>
        <w:pStyle w:val="4"/>
      </w:pPr>
      <w:r>
        <w:rPr>
          <w:rFonts w:ascii="Arial" w:hAnsi="Arial" w:eastAsia="黑体"/>
          <w:b/>
          <w:color w:val="000000"/>
          <w:sz w:val="28"/>
        </w:rPr>
        <w:t>10.3 防雷与接地：烟囱防雷与防静电接地</w:t>
      </w:r>
    </w:p>
    <w:p w14:paraId="7F403601">
      <w:r>
        <w:rPr>
          <w:rFonts w:ascii="Arial" w:hAnsi="Arial" w:eastAsia="宋体"/>
          <w:b w:val="0"/>
          <w:sz w:val="24"/>
        </w:rPr>
        <w:t>烟囱顶部设置避雷针，避雷引下线与接地装置可靠连接，接地电阻满足设计要求；除尘器、风机、管道系统做防静电接地与等电位联结，防止静电积聚放电引燃煤尘；接地装置施工完成并经检测合格后投入使用，运行期按周期复测。</w:t>
      </w:r>
    </w:p>
    <w:p w14:paraId="671FAEE0">
      <w:pPr>
        <w:pStyle w:val="4"/>
      </w:pPr>
      <w:r>
        <w:rPr>
          <w:rFonts w:ascii="Arial" w:hAnsi="Arial" w:eastAsia="黑体"/>
          <w:b/>
          <w:color w:val="000000"/>
          <w:sz w:val="28"/>
        </w:rPr>
        <w:t>10.4 职业健康防护：岗位粉尘控制与健康监护</w:t>
      </w:r>
    </w:p>
    <w:p w14:paraId="32FAEA8C">
      <w:r>
        <w:rPr>
          <w:rFonts w:ascii="Arial" w:hAnsi="Arial" w:eastAsia="宋体"/>
          <w:b w:val="0"/>
          <w:sz w:val="24"/>
        </w:rPr>
        <w:t>本工程通过源头治理显著降低岗位粉尘浓度，明显改善工人工作环境，降低尘肺病及其他职业病的发生风险。同时落实职业健康管理措施：为作业人员配备符合要求的防尘口罩等个体防护用品；按GBZ 188等要求组织接触粉尘岗位员工开展职业健康检查并建立监护档案；开展职业卫生培训与尘肺病防治知识宣传；委托职业卫生技术服务机构定期开展岗位粉尘浓度检测，确保符合GBZ 2.1-2019职业接触限值要求。</w:t>
      </w:r>
    </w:p>
    <w:p w14:paraId="6F352A73">
      <w:pPr>
        <w:pStyle w:val="4"/>
      </w:pPr>
      <w:r>
        <w:rPr>
          <w:rFonts w:ascii="Arial" w:hAnsi="Arial" w:eastAsia="黑体"/>
          <w:b/>
          <w:color w:val="000000"/>
          <w:sz w:val="28"/>
        </w:rPr>
        <w:t>10.5 安全设施配置：检修平台与警示标识</w:t>
      </w:r>
    </w:p>
    <w:p w14:paraId="47D72E45">
      <w:r>
        <w:rPr>
          <w:rFonts w:ascii="Arial" w:hAnsi="Arial" w:eastAsia="宋体"/>
          <w:b w:val="0"/>
          <w:sz w:val="24"/>
        </w:rPr>
        <w:t>在除尘器各主要检修通道及测试处设置必要的安全平台及栏杆，平台荷载与护栏高度满足安全要求；烟囱检测平台设置防护栏杆；系统醒目位置设置安全警示标识（防爆、防尘、当心触电等）与操作提示牌；配置必要的消防器材并保持完好有效。</w:t>
      </w:r>
    </w:p>
    <w:p w14:paraId="042878E2">
      <w:pPr>
        <w:pStyle w:val="3"/>
      </w:pPr>
      <w:r>
        <w:rPr>
          <w:rFonts w:ascii="Arial" w:hAnsi="Arial" w:eastAsia="黑体"/>
          <w:b/>
          <w:color w:val="000000"/>
          <w:sz w:val="32"/>
        </w:rPr>
        <w:t>11 项目验收方案：全过程验收与合规取证</w:t>
      </w:r>
    </w:p>
    <w:p w14:paraId="1B5AA0F0">
      <w:pPr>
        <w:pStyle w:val="4"/>
      </w:pPr>
      <w:r>
        <w:rPr>
          <w:rFonts w:ascii="Arial" w:hAnsi="Arial" w:eastAsia="黑体"/>
          <w:b/>
          <w:color w:val="000000"/>
          <w:sz w:val="28"/>
        </w:rPr>
        <w:t>11.1 验收依据：批复、标准与合同技术协议</w:t>
      </w:r>
    </w:p>
    <w:p w14:paraId="33441DF4">
      <w:r>
        <w:rPr>
          <w:rFonts w:ascii="Arial" w:hAnsi="Arial" w:eastAsia="宋体"/>
          <w:b w:val="0"/>
          <w:sz w:val="24"/>
        </w:rPr>
        <w:t>本工程验收依据包括：环评文件及其批复要求、本方案所列现行排放与职业卫生标准（GB 16297-1996、GBZ 1-2010、GBZ 2.1-2019等）、GB/T 6719-2009与HJ 2020-2012等技术标准、施工图纸与设计变更文件、合同及其技术协议。验收执行标准以环评批复明确的最严格限值为准。</w:t>
      </w:r>
    </w:p>
    <w:p w14:paraId="25BF5C90">
      <w:pPr>
        <w:pStyle w:val="4"/>
      </w:pPr>
      <w:r>
        <w:rPr>
          <w:rFonts w:ascii="Arial" w:hAnsi="Arial" w:eastAsia="黑体"/>
          <w:b/>
          <w:color w:val="000000"/>
          <w:sz w:val="28"/>
        </w:rPr>
        <w:t>11.2 验收程序：分项至竣工环保验收的递进</w:t>
      </w:r>
    </w:p>
    <w:p w14:paraId="610B4226">
      <w:r>
        <w:rPr>
          <w:rFonts w:ascii="Arial" w:hAnsi="Arial" w:eastAsia="宋体"/>
          <w:b w:val="0"/>
          <w:sz w:val="24"/>
        </w:rPr>
        <w:t>验收按“分项验收→单机验收→系统联动验收→性能测试→竣工环保验收→资料备案”程序递进开展：分项验收随施工完成即时进行，覆盖设备安装、管道、电气、防雷接地等分项；单机与联动验收按第8章调试方案执行；性能测试由具备CMA资质的第三方检测机构实施，出具正式检测报告；性能测试合格后组织竣工环保验收，形成验收意见并按要求完成备案与信息公开程序。</w:t>
      </w:r>
    </w:p>
    <w:p w14:paraId="0E751FFA">
      <w:pPr>
        <w:pStyle w:val="4"/>
      </w:pPr>
      <w:r>
        <w:rPr>
          <w:rFonts w:ascii="Arial" w:hAnsi="Arial" w:eastAsia="黑体"/>
          <w:b/>
          <w:color w:val="000000"/>
          <w:sz w:val="28"/>
        </w:rPr>
        <w:t>11.3 检测项目与限值：有组织、无组织与职业卫生指标</w:t>
      </w:r>
    </w:p>
    <w:p w14:paraId="221AF7DC">
      <w:r>
        <w:rPr>
          <w:rFonts w:ascii="Arial" w:hAnsi="Arial" w:eastAsia="宋体"/>
          <w:b w:val="0"/>
          <w:sz w:val="24"/>
        </w:rPr>
        <w:t>验收检测项目与限值执行表7所列指标：有组织排放颗粒物浓度≤20 mg/Nm³（采样按GB/T 16157-1996执行）；无组织排放颗粒物满足GB 16297-1996周界外浓度最高点限值要求；车间岗位粉尘浓度满足GBZ 2.1-2019职业接触限值要求；除尘效率≥99.9%、漏风率≤5%、设备阻力≤1500 Pa（清灰后）。检测期间系统按设计工况稳定运行，检测数据真实、完整、可追溯。</w:t>
      </w:r>
    </w:p>
    <w:p w14:paraId="08AF6B88">
      <w:pPr>
        <w:pStyle w:val="4"/>
      </w:pPr>
      <w:r>
        <w:rPr>
          <w:rFonts w:ascii="Arial" w:hAnsi="Arial" w:eastAsia="黑体"/>
          <w:b/>
          <w:color w:val="000000"/>
          <w:sz w:val="28"/>
        </w:rPr>
        <w:t>11.4 验收资料清单：完整可追溯的报审文件</w:t>
      </w:r>
    </w:p>
    <w:p w14:paraId="2E602718">
      <w:r>
        <w:rPr>
          <w:rFonts w:ascii="Arial" w:hAnsi="Arial" w:eastAsia="宋体"/>
          <w:b w:val="0"/>
          <w:sz w:val="24"/>
        </w:rPr>
        <w:t>验收资料清单包括：立项与设计文件（方案、施工图、设计变更）、设备材料合格证明与检测报告、施工与安装记录（含隐蔽工程验收记录）、调试记录、第三方检测报告（排放、除尘效率、职业卫生）、运行管理制度与操作规程、运行培训记录、竣工图及电子档案。资料按档案管理要求组卷归档，确保环保验收、安监核查与监督检查时可完整调阅。</w:t>
      </w:r>
    </w:p>
    <w:p w14:paraId="212F5E62">
      <w:pPr>
        <w:pStyle w:val="4"/>
      </w:pPr>
      <w:r>
        <w:rPr>
          <w:rFonts w:ascii="Arial" w:hAnsi="Arial" w:eastAsia="黑体"/>
          <w:b/>
          <w:color w:val="000000"/>
          <w:sz w:val="28"/>
        </w:rPr>
        <w:t>11.5 第三方检测要求：CMA机构与规范采样</w:t>
      </w:r>
    </w:p>
    <w:p w14:paraId="233AF9D6">
      <w:r>
        <w:rPr>
          <w:rFonts w:ascii="Arial" w:hAnsi="Arial" w:eastAsia="宋体"/>
          <w:b w:val="0"/>
          <w:sz w:val="24"/>
        </w:rPr>
        <w:t>排放与性能检测须委托具备CMA资质的第三方检测机构实施，检测人员、仪器与采样方法符合国家标准要求；有组织排放采样点位与平台按GB/T 16157-1996设置（排放口规范化），采样工况、频次与数据处理符合规范；检测报告加盖CMA章并附原始记录，作为验收与合规证据存档。</w:t>
      </w:r>
    </w:p>
    <w:p w14:paraId="28734CF9">
      <w:pPr>
        <w:pStyle w:val="3"/>
      </w:pPr>
      <w:r>
        <w:rPr>
          <w:rFonts w:ascii="Arial" w:hAnsi="Arial" w:eastAsia="黑体"/>
          <w:b/>
          <w:color w:val="000000"/>
          <w:sz w:val="32"/>
        </w:rPr>
        <w:t>12 合规性说明：排放、职业卫生与安全多维度合规</w:t>
      </w:r>
    </w:p>
    <w:p w14:paraId="3F6C648D">
      <w:pPr>
        <w:pStyle w:val="4"/>
      </w:pPr>
      <w:r>
        <w:rPr>
          <w:rFonts w:ascii="Arial" w:hAnsi="Arial" w:eastAsia="黑体"/>
          <w:b/>
          <w:color w:val="000000"/>
          <w:sz w:val="28"/>
        </w:rPr>
        <w:t>12.1 大气污染物排放合规</w:t>
      </w:r>
    </w:p>
    <w:p w14:paraId="4AC2ECF4">
      <w:r>
        <w:rPr>
          <w:rFonts w:ascii="Arial" w:hAnsi="Arial" w:eastAsia="宋体"/>
          <w:b w:val="0"/>
          <w:sz w:val="24"/>
        </w:rPr>
        <w:t>本工程除尘器出口颗粒物排放浓度设计值≤20 mg/Nm³，严于GB 16297-1996《大气污染物综合排放标准》中颗粒物最高允许排放浓度限值；厂界无组织排放经治理后满足标准要求。排放口按规范化要求设置采样平台、采样孔与标识，具备达标判定与监督监测条件，满足排污许可与环境监管要求。</w:t>
      </w:r>
    </w:p>
    <w:p w14:paraId="4700EE27">
      <w:pPr>
        <w:pStyle w:val="4"/>
      </w:pPr>
      <w:r>
        <w:rPr>
          <w:rFonts w:ascii="Arial" w:hAnsi="Arial" w:eastAsia="黑体"/>
          <w:b/>
          <w:color w:val="000000"/>
          <w:sz w:val="28"/>
        </w:rPr>
        <w:t>12.2 职业卫生合规</w:t>
      </w:r>
    </w:p>
    <w:p w14:paraId="42033649">
      <w:r>
        <w:rPr>
          <w:rFonts w:ascii="Arial" w:hAnsi="Arial" w:eastAsia="宋体"/>
          <w:b w:val="0"/>
          <w:sz w:val="24"/>
        </w:rPr>
        <w:t>本工程治理后车间岗位粉尘浓度满足GBZ 2.1-2019职业接触限值要求，车间防尘设计符合GBZ 1-2010《工业企业设计卫生标准》；配套个体防护、职业健康监护与定期检测措施，实现职业卫生“工程措施+管理措施”双达标，满足职业病防治法律法规要求。</w:t>
      </w:r>
    </w:p>
    <w:p w14:paraId="61388977">
      <w:pPr>
        <w:pStyle w:val="4"/>
      </w:pPr>
      <w:r>
        <w:rPr>
          <w:rFonts w:ascii="Arial" w:hAnsi="Arial" w:eastAsia="黑体"/>
          <w:b/>
          <w:color w:val="000000"/>
          <w:sz w:val="28"/>
        </w:rPr>
        <w:t>12.3 粉尘防爆与安全合规</w:t>
      </w:r>
    </w:p>
    <w:p w14:paraId="45A5962C">
      <w:r>
        <w:rPr>
          <w:rFonts w:ascii="Arial" w:hAnsi="Arial" w:eastAsia="宋体"/>
          <w:b w:val="0"/>
          <w:sz w:val="24"/>
        </w:rPr>
        <w:t>本工程粉尘防爆设计符合GB 15577-2018《粉尘防爆安全规程》关于除尘系统分区设置、防爆结构、抗静电滤料与监测报警的要求，电气设计符合GB 50058-2014《爆炸危险环境电力装置设计规范》，总平面与建构筑物安全符合GB 50016-2014（2018年版）《建筑设计防火规范》，可满足应急管理部门粉尘涉爆安全核查要求。</w:t>
      </w:r>
    </w:p>
    <w:p w14:paraId="393042F4">
      <w:pPr>
        <w:pStyle w:val="4"/>
      </w:pPr>
      <w:r>
        <w:rPr>
          <w:rFonts w:ascii="Arial" w:hAnsi="Arial" w:eastAsia="黑体"/>
          <w:b/>
          <w:color w:val="000000"/>
          <w:sz w:val="28"/>
        </w:rPr>
        <w:t>12.4 环评批复与竣工环保验收衔接</w:t>
      </w:r>
    </w:p>
    <w:p w14:paraId="39B123B4">
      <w:r>
        <w:rPr>
          <w:rFonts w:ascii="Arial" w:hAnsi="Arial" w:eastAsia="宋体"/>
          <w:b w:val="0"/>
          <w:sz w:val="24"/>
        </w:rPr>
        <w:t>本方案按照“三同时”制度要求，将环保设施与主体工程同步设计、同步施工、同步投入使用；验收阶段以环评批复文件为最高执行口径，对批复中提出的排放限值、治理要求逐项落实并取证；竣工环保验收按现行验收管理办法组织，验收监测与验收意见按要求完成公示与备案，实现与排污许可管理的衔接。</w:t>
      </w:r>
    </w:p>
    <w:p w14:paraId="4E34DBE2">
      <w:pPr>
        <w:pStyle w:val="4"/>
      </w:pPr>
      <w:r>
        <w:rPr>
          <w:rFonts w:ascii="Arial" w:hAnsi="Arial" w:eastAsia="黑体"/>
          <w:b/>
          <w:color w:val="000000"/>
          <w:sz w:val="28"/>
        </w:rPr>
        <w:t>12.5 合规风险提示与应对</w:t>
      </w:r>
    </w:p>
    <w:p w14:paraId="06B9E663">
      <w:r>
        <w:rPr>
          <w:rFonts w:ascii="Arial" w:hAnsi="Arial" w:eastAsia="宋体"/>
          <w:b w:val="0"/>
          <w:sz w:val="24"/>
        </w:rPr>
        <w:t>需关注以下合规风险并提前应对：一是地方排放标准或环评批复个别指标严于国家标准时，按从严执行原则校核系统设计裕量；二是排放口规范化（采样平台、孔位、标识）不达标可能影响验收监测，需在施工阶段同步完善；三是粉尘涉爆安全核查对除尘系统分区、防爆设施与运行管理有严格要求，需按本方案第5.4、10.1节措施完整落实并保留运行记录；四是排污许可变更与自行监测要求需与属地生态环境部门衔接，确保投运后持续合规。</w:t>
      </w:r>
    </w:p>
    <w:p w14:paraId="288F01DD">
      <w:pPr>
        <w:pStyle w:val="3"/>
      </w:pPr>
      <w:r>
        <w:rPr>
          <w:rFonts w:ascii="Arial" w:hAnsi="Arial" w:eastAsia="黑体"/>
          <w:b/>
          <w:color w:val="000000"/>
          <w:sz w:val="32"/>
        </w:rPr>
        <w:t>13 项目重难点及解决方案：关键风险与应对策略</w:t>
      </w:r>
    </w:p>
    <w:p w14:paraId="3D7C2AA0">
      <w:pPr>
        <w:pStyle w:val="4"/>
      </w:pPr>
      <w:r>
        <w:rPr>
          <w:rFonts w:ascii="Arial" w:hAnsi="Arial" w:eastAsia="黑体"/>
          <w:b/>
          <w:color w:val="000000"/>
          <w:sz w:val="28"/>
        </w:rPr>
        <w:t>13.1 大空间车间粉尘捕集难题：副翼式吸风罩与气流组织</w:t>
      </w:r>
    </w:p>
    <w:p w14:paraId="20D667E2">
      <w:r>
        <w:rPr>
          <w:rFonts w:ascii="Arial" w:hAnsi="Arial" w:eastAsia="宋体"/>
          <w:b w:val="0"/>
          <w:sz w:val="24"/>
        </w:rPr>
        <w:t>难点：车间面积大、楼层较高，粉尘在车间内无规则运动，捕集难度大；单纯增大吸风罩尺寸受生产工序限制，无法无限制扩大。</w:t>
      </w:r>
    </w:p>
    <w:p w14:paraId="36FD20F0">
      <w:r>
        <w:rPr>
          <w:rFonts w:ascii="Arial" w:hAnsi="Arial" w:eastAsia="宋体"/>
          <w:b w:val="0"/>
          <w:sz w:val="24"/>
        </w:rPr>
        <w:t>解决方案：采用副翼式吸风罩水平30°斜装结构，通过增加导流板优化气流组织，在不无限扩大罩体的前提下有效增大吸风覆盖面积与捕集效率；按产尘点分布合理布置吸风罩位置与数量，并结合电动风阀分时控制，实现按需捕集。</w:t>
      </w:r>
    </w:p>
    <w:p w14:paraId="600C58D1">
      <w:pPr>
        <w:pStyle w:val="4"/>
      </w:pPr>
      <w:r>
        <w:rPr>
          <w:rFonts w:ascii="Arial" w:hAnsi="Arial" w:eastAsia="黑体"/>
          <w:b/>
          <w:color w:val="000000"/>
          <w:sz w:val="28"/>
        </w:rPr>
        <w:t>13.2 煤尘防爆安全难题：全过程防爆设计</w:t>
      </w:r>
    </w:p>
    <w:p w14:paraId="401F466E">
      <w:r>
        <w:rPr>
          <w:rFonts w:ascii="Arial" w:hAnsi="Arial" w:eastAsia="宋体"/>
          <w:b w:val="0"/>
          <w:sz w:val="24"/>
        </w:rPr>
        <w:t>难点：煤粉为可燃性粉尘，除尘系统存在爆炸与自燃风险，是安全核查的重点关注对象。</w:t>
      </w:r>
    </w:p>
    <w:p w14:paraId="11AD4FEC">
      <w:r>
        <w:rPr>
          <w:rFonts w:ascii="Arial" w:hAnsi="Arial" w:eastAsia="宋体"/>
          <w:b w:val="0"/>
          <w:sz w:val="24"/>
        </w:rPr>
        <w:t>解决方案：全系统按GB 15577-2018开展防爆设计，选用抗静电涤纶针刺毡滤料、防爆结构、防爆电动风阀，增设防爆装置与粉尘监测报警装置，除尘器与风机室外布置；对煤尘开展物化性质测定，运行期落实防爆检修与动火管理制度，实现“设计+设备+管理”三重防爆保障。</w:t>
      </w:r>
    </w:p>
    <w:p w14:paraId="06BA2ED4">
      <w:pPr>
        <w:pStyle w:val="4"/>
      </w:pPr>
      <w:r>
        <w:rPr>
          <w:rFonts w:ascii="Arial" w:hAnsi="Arial" w:eastAsia="黑体"/>
          <w:b/>
          <w:color w:val="000000"/>
          <w:sz w:val="28"/>
        </w:rPr>
        <w:t>13.3 多尘源阻力平衡与节能难题：分区控制与变频调节</w:t>
      </w:r>
    </w:p>
    <w:p w14:paraId="2FF088D3">
      <w:r>
        <w:rPr>
          <w:rFonts w:ascii="Arial" w:hAnsi="Arial" w:eastAsia="宋体"/>
          <w:b w:val="0"/>
          <w:sz w:val="24"/>
        </w:rPr>
        <w:t>难点：尘源点分散、作业间歇，若统一连续运行，系统能耗高且各支路阻力难以平衡，捕集效果参差不齐。</w:t>
      </w:r>
    </w:p>
    <w:p w14:paraId="5A237BAF">
      <w:r>
        <w:rPr>
          <w:rFonts w:ascii="Arial" w:hAnsi="Arial" w:eastAsia="宋体"/>
          <w:b w:val="0"/>
          <w:sz w:val="24"/>
        </w:rPr>
        <w:t>解决方案：按就近集中与同时运行原则划分2套相对独立的除尘系统；支管设防爆电动风阀实现分时、按需控制；风机采用变频启动与自动调节，依据系统运行阻力动态调整风量与转速，在保证捕集效果的前提下显著降低运行能耗。</w:t>
      </w:r>
    </w:p>
    <w:p w14:paraId="17833C18">
      <w:pPr>
        <w:pStyle w:val="4"/>
      </w:pPr>
      <w:r>
        <w:rPr>
          <w:rFonts w:ascii="Arial" w:hAnsi="Arial" w:eastAsia="黑体"/>
          <w:b/>
          <w:color w:val="000000"/>
          <w:sz w:val="28"/>
        </w:rPr>
        <w:t>13.4 施工与生产交叉难题：分区分段与窗口施工</w:t>
      </w:r>
    </w:p>
    <w:p w14:paraId="40EA190F">
      <w:r>
        <w:rPr>
          <w:rFonts w:ascii="Arial" w:hAnsi="Arial" w:eastAsia="宋体"/>
          <w:b w:val="0"/>
          <w:sz w:val="24"/>
        </w:rPr>
        <w:t>难点：治理工程施工与车间生产运行交叉，存在安全与工期风险，大型设备吊装与管道穿越协调难度大。</w:t>
      </w:r>
    </w:p>
    <w:p w14:paraId="29B5B271">
      <w:r>
        <w:rPr>
          <w:rFonts w:ascii="Arial" w:hAnsi="Arial" w:eastAsia="宋体"/>
          <w:b w:val="0"/>
          <w:sz w:val="24"/>
        </w:rPr>
        <w:t>解决方案：实行分区分段施工组织，优先利用停产窗口与低负荷时段开展基础与吊装作业；大型吊装编制专项方案并设警戒区域；管道穿越做好既有设施保护；煤粉环境动火执行审批与监护制度；通过过程旁站与工序验收保障安全与质量。</w:t>
      </w:r>
    </w:p>
    <w:p w14:paraId="207E3D15">
      <w:pPr>
        <w:pStyle w:val="4"/>
      </w:pPr>
      <w:r>
        <w:rPr>
          <w:rFonts w:ascii="Arial" w:hAnsi="Arial" w:eastAsia="黑体"/>
          <w:b/>
          <w:color w:val="000000"/>
          <w:sz w:val="28"/>
        </w:rPr>
        <w:t>13.5 长期稳定运行难题：低压脉冲与规范运维</w:t>
      </w:r>
    </w:p>
    <w:p w14:paraId="53BA0CB2">
      <w:r>
        <w:rPr>
          <w:rFonts w:ascii="Arial" w:hAnsi="Arial" w:eastAsia="宋体"/>
          <w:b w:val="0"/>
          <w:sz w:val="24"/>
        </w:rPr>
        <w:t>难点：除尘系统长期运行面临滤袋损耗、清灰失效、阻力上升等问题，直接影响达标稳定性与运行成本。</w:t>
      </w:r>
    </w:p>
    <w:p w14:paraId="4701402E">
      <w:r>
        <w:rPr>
          <w:rFonts w:ascii="Arial" w:hAnsi="Arial" w:eastAsia="宋体"/>
          <w:b w:val="0"/>
          <w:sz w:val="24"/>
        </w:rPr>
        <w:t>解决方案：采用低压脉冲清灰技术（0.25～0.4 MPa）延长滤袋与脉冲阀寿命；设计阻力≤1500 Pa降低能耗；建立第9章所述运维管理、巡检保养、备件储备与监测台账制度，实现系统长期高效稳定运行。</w:t>
      </w:r>
    </w:p>
    <w:p w14:paraId="45B22A92">
      <w:r>
        <w:br w:type="page"/>
      </w:r>
    </w:p>
    <w:p w14:paraId="59067D5D">
      <w:pPr>
        <w:pStyle w:val="3"/>
      </w:pPr>
      <w:r>
        <w:rPr>
          <w:rFonts w:ascii="Arial" w:hAnsi="Arial" w:eastAsia="黑体"/>
          <w:b/>
          <w:color w:val="000000"/>
          <w:sz w:val="32"/>
        </w:rPr>
        <w:t>附录A 行业核心工艺优势总结：长袋低压脉冲袋式除尘技术的工程价值</w:t>
      </w:r>
    </w:p>
    <w:p w14:paraId="414B9B83">
      <w:r>
        <w:rPr>
          <w:rFonts w:ascii="Arial" w:hAnsi="Arial" w:eastAsia="宋体"/>
          <w:b w:val="0"/>
          <w:sz w:val="24"/>
        </w:rPr>
        <w:t>综合本工程实践与行业应用经验，长袋低压脉冲袋式除尘技术在工业粉尘治理领域具备六项核心优势：</w:t>
      </w:r>
    </w:p>
    <w:p w14:paraId="0544498C">
      <w:r>
        <w:rPr>
          <w:rFonts w:ascii="Arial" w:hAnsi="Arial" w:eastAsia="宋体"/>
          <w:b w:val="0"/>
          <w:sz w:val="24"/>
        </w:rPr>
        <w:t>（1）除尘效率行业领先：袋式除尘对微细颗粒物的除尘效率可达99.9%以上，出口浓度可稳定控制在20 mg/Nm³以内，显著优于重力沉降、旋风除尘等传统工艺，是满足现行大气污染物排放标准最可靠的净化路线。</w:t>
      </w:r>
    </w:p>
    <w:p w14:paraId="7A9C5BC1">
      <w:r>
        <w:rPr>
          <w:rFonts w:ascii="Arial" w:hAnsi="Arial" w:eastAsia="宋体"/>
          <w:b w:val="0"/>
          <w:sz w:val="24"/>
        </w:rPr>
        <w:t>（2）可燃粉尘防爆适配性强：通过抗静电滤料、防爆结构、泄爆装置与粉尘监测报警组合应用，可满足GB 15577-2018对可燃性粉尘除尘系统的防爆要求，适用于煤粉、木粉、金属粉等易燃易爆粉尘治理场景。</w:t>
      </w:r>
    </w:p>
    <w:p w14:paraId="6D75E697">
      <w:r>
        <w:rPr>
          <w:rFonts w:ascii="Arial" w:hAnsi="Arial" w:eastAsia="宋体"/>
          <w:b w:val="0"/>
          <w:sz w:val="24"/>
        </w:rPr>
        <w:t>（3）运行能耗低：低压脉冲清灰（0.25～0.4 MPa）相比高压脉冲能耗更低、滤袋与脉冲阀寿命更长；设备运行阻力≤1500 Pa，配合风机变频调节，系统全生命周期运行成本经济可控。</w:t>
      </w:r>
    </w:p>
    <w:p w14:paraId="262F33BD">
      <w:r>
        <w:rPr>
          <w:rFonts w:ascii="Arial" w:hAnsi="Arial" w:eastAsia="宋体"/>
          <w:b w:val="0"/>
          <w:sz w:val="24"/>
        </w:rPr>
        <w:t>（4）运行稳定可靠：设备无易损运动部件、自动化程度高，可长期连续运行，维护工作量小，适用于生产连续性强、对系统可靠性要求高的工况。</w:t>
      </w:r>
    </w:p>
    <w:p w14:paraId="7FB72F43">
      <w:r>
        <w:rPr>
          <w:rFonts w:ascii="Arial" w:hAnsi="Arial" w:eastAsia="宋体"/>
          <w:b w:val="0"/>
          <w:sz w:val="24"/>
        </w:rPr>
        <w:t>（5）适应复杂尘源分布：配合分区独立系统、电动风阀分时控制与变频调节，可灵活适应尘源点多、面广、分散、间歇的工况，实现按需治理与节能运行。</w:t>
      </w:r>
    </w:p>
    <w:p w14:paraId="26D7E724">
      <w:r>
        <w:rPr>
          <w:rFonts w:ascii="Arial" w:hAnsi="Arial" w:eastAsia="宋体"/>
          <w:b w:val="0"/>
          <w:sz w:val="24"/>
        </w:rPr>
        <w:t>（6）工程实施与验收成熟：袋式除尘工程设计、施工与运行有GB/T 6719-2009、HJ 2020-2012等成熟标准支撑，验收检测路径清晰，有利于项目快速通过环保竣工验收与合规核查。</w:t>
      </w:r>
    </w:p>
    <w:p w14:paraId="579292C2">
      <w:r>
        <w:rPr>
          <w:rFonts w:ascii="Arial" w:hAnsi="Arial" w:eastAsia="宋体"/>
          <w:b w:val="0"/>
          <w:sz w:val="24"/>
        </w:rPr>
        <w:t>适用工况边界提示：袋式除尘适用于粉尘浓度较高、对排放要求严格的干式除尘场景；对高温烟气需确认滤料耐温边界（本工程滤袋适用温度80～120 ℃）；对高湿、易结露工况需配套保温与清灰优化措施，防止糊袋。</w:t>
      </w:r>
    </w:p>
    <w:p w14:paraId="318EB501">
      <w:r>
        <w:br w:type="page"/>
      </w:r>
    </w:p>
    <w:p w14:paraId="6B195841">
      <w:pPr>
        <w:pStyle w:val="3"/>
      </w:pPr>
      <w:r>
        <w:rPr>
          <w:rFonts w:ascii="Arial" w:hAnsi="Arial" w:eastAsia="黑体"/>
          <w:b/>
          <w:color w:val="000000"/>
          <w:sz w:val="32"/>
        </w:rPr>
        <w:t>附录B 工程高频问题解决方案：除尘系统建设与运行实战对策</w:t>
      </w:r>
    </w:p>
    <w:p w14:paraId="70DA1D1D">
      <w:r>
        <w:rPr>
          <w:rFonts w:ascii="Arial" w:hAnsi="Arial" w:eastAsia="宋体"/>
          <w:b w:val="0"/>
          <w:sz w:val="24"/>
        </w:rPr>
        <w:t>（1）排放浓度长期超标：优先逐室检查滤袋破损与袋口密封，采用荧光粉检漏或逐室停风排查；同步核查清灰系统压力与周期，必要时调大喷吹压力、缩短清灰间隔；确认系统风量分配与过滤风速是否超设计值。</w:t>
      </w:r>
    </w:p>
    <w:p w14:paraId="1CDDD8DB">
      <w:r>
        <w:rPr>
          <w:rFonts w:ascii="Arial" w:hAnsi="Arial" w:eastAsia="宋体"/>
          <w:b w:val="0"/>
          <w:sz w:val="24"/>
        </w:rPr>
        <w:t>（2）系统阻力持续偏高：检查脉冲阀动作与气源压力是否正常，排除清灰失效；检查滤袋是否板结、糊袋，结露工况需提高运行温度并加强保温；校核系统风量是否偏大，通过变频调速恢复设计工况。</w:t>
      </w:r>
    </w:p>
    <w:p w14:paraId="019FF65B">
      <w:r>
        <w:rPr>
          <w:rFonts w:ascii="Arial" w:hAnsi="Arial" w:eastAsia="宋体"/>
          <w:b w:val="0"/>
          <w:sz w:val="24"/>
        </w:rPr>
        <w:t>（3）风机振动与噪声异常：停机检查叶轮积灰与磨损，清理或更换叶轮；检查轴承润滑与磨损情况，必要时更换轴承；复核风机基础与地脚螺栓紧固情况，重新找正电机与风机同轴度。</w:t>
      </w:r>
    </w:p>
    <w:p w14:paraId="06F093C0">
      <w:r>
        <w:rPr>
          <w:rFonts w:ascii="Arial" w:hAnsi="Arial" w:eastAsia="宋体"/>
          <w:b w:val="0"/>
          <w:sz w:val="24"/>
        </w:rPr>
        <w:t>（4）脉冲清灰效果差：检查储气罐压力与减压阀设定，恢复气源压力至0.4～0.6 MPa；检查稳压气包压力与喷吹压力（0.25～0.4 MPa）；排查脉冲阀膜片损坏、电磁阀线圈故障与控制信号异常，按序更换故障件。</w:t>
      </w:r>
    </w:p>
    <w:p w14:paraId="4EAA7575">
      <w:r>
        <w:rPr>
          <w:rFonts w:ascii="Arial" w:hAnsi="Arial" w:eastAsia="宋体"/>
          <w:b w:val="0"/>
          <w:sz w:val="24"/>
        </w:rPr>
        <w:t>（5）卸灰系统堵塞：灰斗内粉尘板结搭桥时人工清堵并查找结露根源；检查翻板卸灰阀卡阻与密封情况，定期润滑；保持及时卸灰，避免灰斗长期高料位运行。</w:t>
      </w:r>
    </w:p>
    <w:p w14:paraId="16C5A0A3">
      <w:r>
        <w:rPr>
          <w:rFonts w:ascii="Arial" w:hAnsi="Arial" w:eastAsia="宋体"/>
          <w:b w:val="0"/>
          <w:sz w:val="24"/>
        </w:rPr>
        <w:t>（6）滤袋频繁破损：检查袋笼是否有毛刺、变形刮伤滤袋；核查喷吹压力是否过高造成滤袋冲击磨损；关注烟气温度是否超滤料耐受范围；更换滤袋时规范安装，防止袋口密封不严导致粉尘短路。</w:t>
      </w:r>
    </w:p>
    <w:p w14:paraId="4324D086">
      <w:r>
        <w:rPr>
          <w:rFonts w:ascii="Arial" w:hAnsi="Arial" w:eastAsia="宋体"/>
          <w:b w:val="0"/>
          <w:sz w:val="24"/>
        </w:rPr>
        <w:t>（7）二次扬尘控制：卸灰作业采用密闭转运，运输车辆覆盖防尘；灰斗卸灰口与转运设备设密封衔接；厂区道路定期清扫洒水，减少无组织扬尘叠加。</w:t>
      </w:r>
    </w:p>
    <w:p w14:paraId="1E5711DA">
      <w:r>
        <w:rPr>
          <w:rFonts w:ascii="Arial" w:hAnsi="Arial" w:eastAsia="宋体"/>
          <w:b w:val="0"/>
          <w:sz w:val="24"/>
        </w:rPr>
        <w:t>（8）冬季结露与糊袋：对除尘器及管道加强保温，控制烟气温度高于露点温度；缩短清灰间隔、提高清灰频次；必要时对灰斗与箱体增设伴热或保温措施，防止冷凝水导致糊袋。</w:t>
      </w:r>
    </w:p>
    <w:p w14:paraId="182F42FD">
      <w:r>
        <w:br w:type="page"/>
      </w:r>
    </w:p>
    <w:p w14:paraId="4816B62D">
      <w:pPr>
        <w:pStyle w:val="3"/>
      </w:pPr>
      <w:r>
        <w:rPr>
          <w:rFonts w:ascii="Arial" w:hAnsi="Arial" w:eastAsia="黑体"/>
          <w:b/>
          <w:color w:val="000000"/>
          <w:sz w:val="32"/>
        </w:rPr>
        <w:t>附录C 行业标准FAQ问答板块：工业粉尘治理常见问题解答</w:t>
      </w:r>
    </w:p>
    <w:p w14:paraId="3F0C7AD8">
      <w:r>
        <w:rPr>
          <w:rFonts w:ascii="Arial" w:hAnsi="Arial" w:eastAsia="宋体"/>
          <w:b w:val="0"/>
          <w:sz w:val="24"/>
        </w:rPr>
        <w:t>Q1：布袋除尘器的出口排放浓度能做到多少？</w:t>
      </w:r>
    </w:p>
    <w:p w14:paraId="0C0B9C7C">
      <w:r>
        <w:rPr>
          <w:rFonts w:ascii="Arial" w:hAnsi="Arial" w:eastAsia="宋体"/>
          <w:b w:val="0"/>
          <w:sz w:val="24"/>
        </w:rPr>
        <w:t>A：采用优质滤料与合理过滤风速的袋式除尘系统，出口颗粒物浓度可稳定控制在20 mg/Nm³以内，设计优良并加强运行管理的系统可达到10 mg/Nm³以下，完全能够满足GB 16297-1996颗粒物排放限值及更严格的环评批复要求。</w:t>
      </w:r>
    </w:p>
    <w:p w14:paraId="48945D00">
      <w:r>
        <w:rPr>
          <w:rFonts w:ascii="Arial" w:hAnsi="Arial" w:eastAsia="宋体"/>
          <w:b w:val="0"/>
          <w:sz w:val="24"/>
        </w:rPr>
        <w:t>Q2：煤粉粉尘治理为什么必须进行防爆设计？</w:t>
      </w:r>
    </w:p>
    <w:p w14:paraId="7ABE968A">
      <w:r>
        <w:rPr>
          <w:rFonts w:ascii="Arial" w:hAnsi="Arial" w:eastAsia="宋体"/>
          <w:b w:val="0"/>
          <w:sz w:val="24"/>
        </w:rPr>
        <w:t>A：煤粉属于可燃性粉尘，在空气中达到爆炸浓度下限并遇点火源时可发生粉尘爆炸。依据GB 15577-2018《粉尘防爆安全规程》，可燃粉尘除尘系统必须分区独立设置，并采取抗静电滤料、防爆结构、泄爆装置与粉尘监测报警等措施，从源头消除爆炸与自燃隐患，满足应急管理部门安全核查要求。</w:t>
      </w:r>
    </w:p>
    <w:p w14:paraId="3234C2E8">
      <w:r>
        <w:rPr>
          <w:rFonts w:ascii="Arial" w:hAnsi="Arial" w:eastAsia="宋体"/>
          <w:b w:val="0"/>
          <w:sz w:val="24"/>
        </w:rPr>
        <w:t>Q3：除尘系统过滤风速如何确定？</w:t>
      </w:r>
    </w:p>
    <w:p w14:paraId="43CF103A">
      <w:r>
        <w:rPr>
          <w:rFonts w:ascii="Arial" w:hAnsi="Arial" w:eastAsia="宋体"/>
          <w:b w:val="0"/>
          <w:sz w:val="24"/>
        </w:rPr>
        <w:t>A：过滤风速是除尘器结构与清灰效果的关键参数，一般按滤料性能与使用条件确定。国产涤纶针刺毡滤料推荐过滤风速控制在1.2 m/min以内，本工程设计取值1.05 m/min，在保证除尘效率与滤袋寿命的同时兼顾设备投资经济性。</w:t>
      </w:r>
    </w:p>
    <w:p w14:paraId="5338480D">
      <w:r>
        <w:rPr>
          <w:rFonts w:ascii="Arial" w:hAnsi="Arial" w:eastAsia="宋体"/>
          <w:b w:val="0"/>
          <w:sz w:val="24"/>
        </w:rPr>
        <w:t>Q4：除尘器运行阻力过高如何排查处理？</w:t>
      </w:r>
    </w:p>
    <w:p w14:paraId="4E0A45D4">
      <w:r>
        <w:rPr>
          <w:rFonts w:ascii="Arial" w:hAnsi="Arial" w:eastAsia="宋体"/>
          <w:b w:val="0"/>
          <w:sz w:val="24"/>
        </w:rPr>
        <w:t>A：阻力过高通常源于清灰失效、滤袋板结或风量偏大。排查顺序为：检查气源压力与脉冲阀动作→检查滤袋结露糊袋情况→校核系统风量是否超设计值→检查灰斗是否积灰堵袋。对应采取恢复清灰压力、提高运行温度、变频调速与清堵等措施。</w:t>
      </w:r>
    </w:p>
    <w:p w14:paraId="1664D52E">
      <w:r>
        <w:rPr>
          <w:rFonts w:ascii="Arial" w:hAnsi="Arial" w:eastAsia="宋体"/>
          <w:b w:val="0"/>
          <w:sz w:val="24"/>
        </w:rPr>
        <w:t>Q5：布袋除尘器的滤袋使用寿命有多长？</w:t>
      </w:r>
    </w:p>
    <w:p w14:paraId="695E682A">
      <w:r>
        <w:rPr>
          <w:rFonts w:ascii="Arial" w:hAnsi="Arial" w:eastAsia="宋体"/>
          <w:b w:val="0"/>
          <w:sz w:val="24"/>
        </w:rPr>
        <w:t>A：滤袋寿命取决于烟气温度、粉尘性质、清灰压力与运行管理水平，常规工况下抗静电涤纶针刺毡滤袋使用寿命一般为2～3年。保持喷吹压力适中、杜绝超温运行、防止结露糊袋，并规范更换安装，可显著延长滤袋寿命。</w:t>
      </w:r>
    </w:p>
    <w:p w14:paraId="3CE6013D">
      <w:r>
        <w:rPr>
          <w:rFonts w:ascii="Arial" w:hAnsi="Arial" w:eastAsia="宋体"/>
          <w:b w:val="0"/>
          <w:sz w:val="24"/>
        </w:rPr>
        <w:t>Q6：粉尘治理工程环保验收需要具备哪些条件？</w:t>
      </w:r>
    </w:p>
    <w:p w14:paraId="18F8D19F">
      <w:r>
        <w:rPr>
          <w:rFonts w:ascii="Arial" w:hAnsi="Arial" w:eastAsia="宋体"/>
          <w:b w:val="0"/>
          <w:sz w:val="24"/>
        </w:rPr>
        <w:t>A：验收条件包括：环保设施按环评批复建成并稳定运行；委托CMA资质机构完成排放与性能检测且各项指标达标；提供设计方案、施工记录、调试记录、检测报告等完整资料；按程序组织竣工环保验收并完成公示备案。有组织排放口须规范化设置采样平台与采样孔。</w:t>
      </w:r>
    </w:p>
    <w:p w14:paraId="6EB3652F">
      <w:r>
        <w:rPr>
          <w:rFonts w:ascii="Arial" w:hAnsi="Arial" w:eastAsia="宋体"/>
          <w:b w:val="0"/>
          <w:sz w:val="24"/>
        </w:rPr>
        <w:t>Q7：车间岗位粉尘浓度执行什么标准？</w:t>
      </w:r>
    </w:p>
    <w:p w14:paraId="7A1DA5FA">
      <w:r>
        <w:rPr>
          <w:rFonts w:ascii="Arial" w:hAnsi="Arial" w:eastAsia="宋体"/>
          <w:b w:val="0"/>
          <w:sz w:val="24"/>
        </w:rPr>
        <w:t>A：车间岗位粉尘浓度执行GBZ 2.1-2019《工作场所有害因素职业接触限值 第1部分：化学有害因素》规定的职业接触限值，并由职业卫生技术服务机构定期检测。治理工程应将岗位粉尘浓度控制作为设计目标之一，配套个体防护与职业健康监护措施。</w:t>
      </w:r>
    </w:p>
    <w:p w14:paraId="77438D4D">
      <w:r>
        <w:rPr>
          <w:rFonts w:ascii="Arial" w:hAnsi="Arial" w:eastAsia="宋体"/>
          <w:b w:val="0"/>
          <w:sz w:val="24"/>
        </w:rPr>
        <w:t>Q8：除尘系统处理风量如何核算确定？</w:t>
      </w:r>
    </w:p>
    <w:p w14:paraId="5C5A6D3C">
      <w:r>
        <w:rPr>
          <w:rFonts w:ascii="Arial" w:hAnsi="Arial" w:eastAsia="宋体"/>
          <w:b w:val="0"/>
          <w:sz w:val="24"/>
        </w:rPr>
        <w:t>A：处理风量按各尘源点所需捕集风量之和确定，捕集风量取决于罩口面积与罩口控制风速（密闭罩按缝隙与换气次数核算），并计入管道漏风裕量。本工程单套系统按50000 m³/h设计，通过风量平衡校核保证各尘源点捕集效果。</w:t>
      </w:r>
    </w:p>
    <w:sectPr>
      <w:footerReference r:id="rId5"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157B9">
    <w:pPr>
      <w:pStyle w:val="24"/>
      <w:jc w:val="center"/>
    </w:pPr>
    <w:r>
      <w:fldChar w:fldCharType="begin"/>
    </w:r>
    <w:r>
      <w:instrText xml:space="preserve">PAGE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0412F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ind w:firstLine="480"/>
      <w:jc w:val="both"/>
    </w:pPr>
    <w:rPr>
      <w:rFonts w:ascii="Arial" w:hAnsi="Arial" w:eastAsia="宋体" w:cstheme="minorBidi"/>
      <w:sz w:val="24"/>
      <w:szCs w:val="22"/>
      <w:lang w:val="en-US" w:eastAsia="en-US" w:bidi="ar-SA"/>
    </w:rPr>
  </w:style>
  <w:style w:type="paragraph" w:styleId="3">
    <w:name w:val="heading 1"/>
    <w:basedOn w:val="1"/>
    <w:next w:val="1"/>
    <w:link w:val="138"/>
    <w:qFormat/>
    <w:uiPriority w:val="9"/>
    <w:pPr>
      <w:keepNext/>
      <w:keepLines/>
      <w:spacing w:before="280" w:after="120" w:line="288" w:lineRule="auto"/>
      <w:ind w:firstLine="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39"/>
    <w:unhideWhenUsed/>
    <w:qFormat/>
    <w:uiPriority w:val="9"/>
    <w:pPr>
      <w:keepNext/>
      <w:keepLines/>
      <w:spacing w:before="220" w:after="100" w:line="288" w:lineRule="auto"/>
      <w:ind w:firstLine="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0"/>
    <w:unhideWhenUsed/>
    <w:qFormat/>
    <w:uiPriority w:val="9"/>
    <w:pPr>
      <w:keepNext/>
      <w:keepLines/>
      <w:spacing w:before="180" w:after="80" w:line="288" w:lineRule="auto"/>
      <w:ind w:firstLine="0"/>
      <w:outlineLvl w:val="2"/>
    </w:pPr>
    <w:rPr>
      <w:rFonts w:asciiTheme="majorHAnsi" w:hAnsiTheme="majorHAnsi" w:eastAsiaTheme="majorEastAsia" w:cstheme="majorBidi"/>
      <w:b/>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before="80" w:after="80" w:line="288" w:lineRule="auto"/>
      <w:ind w:firstLine="0"/>
      <w:jc w:val="center"/>
    </w:pPr>
    <w:rPr>
      <w:rFonts w:ascii="Arial" w:hAnsi="Arial" w:eastAsia="宋体"/>
      <w:b/>
      <w:bCs/>
      <w:color w:val="000000"/>
      <w:sz w:val="21"/>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pPr>
      <w:spacing w:after="240"/>
      <w:jc w:val="center"/>
    </w:pPr>
    <w:rPr>
      <w:rFonts w:asciiTheme="majorHAnsi" w:hAnsiTheme="majorHAnsi" w:eastAsiaTheme="majorEastAsia" w:cstheme="majorBidi"/>
      <w:i/>
      <w:iCs/>
      <w:color w:val="000000"/>
      <w:spacing w:val="15"/>
      <w:sz w:val="24"/>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pBdr>
        <w:bottom w:val="single" w:color="4F81BD" w:themeColor="accent1" w:sz="8" w:space="4"/>
      </w:pBdr>
      <w:spacing w:before="0" w:after="360" w:line="312" w:lineRule="auto"/>
      <w:ind w:firstLine="0"/>
      <w:contextualSpacing/>
      <w:jc w:val="center"/>
    </w:pPr>
    <w:rPr>
      <w:rFonts w:asciiTheme="majorHAnsi" w:hAnsiTheme="majorHAnsi" w:eastAsiaTheme="majorEastAsia" w:cstheme="majorBidi"/>
      <w:b/>
      <w:color w:val="000000"/>
      <w:spacing w:val="5"/>
      <w:kern w:val="28"/>
      <w:sz w:val="36"/>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TableText"/>
    <w:basedOn w:val="1"/>
    <w:uiPriority w:val="0"/>
    <w:pPr>
      <w:spacing w:before="40" w:after="40" w:line="240" w:lineRule="auto"/>
      <w:ind w:firstLine="0"/>
    </w:pPr>
    <w:rPr>
      <w:rFonts w:ascii="Arial" w:hAnsi="Arial" w:eastAsia="宋体"/>
      <w:color w:val="000000"/>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17838</Words>
  <Characters>19382</Characters>
  <Lines>0</Lines>
  <Paragraphs>0</Paragraphs>
  <TotalTime>20</TotalTime>
  <ScaleCrop>false</ScaleCrop>
  <LinksUpToDate>false</LinksUpToDate>
  <CharactersWithSpaces>19734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刘先生</cp:lastModifiedBy>
  <dcterms:modified xsi:type="dcterms:W3CDTF">2026-09-14T07:36:49Z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eyJoZGlkIjoiZGZmZDVlNWJjY2UzMzVkNjljN2I1NzQyZDRkNDNjMTYiLCJ1c2VySWQiOiIxNzkwNjIyMjIwIn0=</vt:lpwstr>
  </property>
  <property fmtid="{D5CDD505-2E9C-101B-9397-08002B2CF9AE}" pid="3" name="KSOProductBuildVer">
    <vt:lpwstr>2052-12.1.0.28505</vt:lpwstr>
  </property>
  <property fmtid="{D5CDD505-2E9C-101B-9397-08002B2CF9AE}" pid="4" name="ICV">
    <vt:lpwstr>DF40002B45764ADF961E0D7286FDC309_12</vt:lpwstr>
  </property>
</Properties>
</file>